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57" w:rsidRPr="005A2C07" w:rsidRDefault="0012015B" w:rsidP="0012015B">
      <w:pPr>
        <w:jc w:val="center"/>
        <w:rPr>
          <w:b/>
          <w:sz w:val="36"/>
          <w:szCs w:val="36"/>
        </w:rPr>
      </w:pPr>
      <w:bookmarkStart w:id="0" w:name="_GoBack"/>
      <w:bookmarkEnd w:id="0"/>
      <w:r w:rsidRPr="005A2C07">
        <w:rPr>
          <w:b/>
          <w:sz w:val="36"/>
          <w:szCs w:val="36"/>
        </w:rPr>
        <w:t>Dartmoor Primary Federation Accessibility Plan 2019 – 2022</w:t>
      </w:r>
    </w:p>
    <w:p w:rsidR="00033996" w:rsidRPr="00033996" w:rsidRDefault="00033996" w:rsidP="0012015B">
      <w:pPr>
        <w:jc w:val="center"/>
        <w:rPr>
          <w:sz w:val="32"/>
          <w:szCs w:val="32"/>
        </w:rPr>
      </w:pPr>
    </w:p>
    <w:p w:rsidR="0012015B" w:rsidRDefault="00033996" w:rsidP="0012015B">
      <w:r>
        <w:t>Within the Dartmoor Primary Federation, we value each person equally and seek</w:t>
      </w:r>
      <w:r w:rsidR="005A2C07">
        <w:t xml:space="preserve"> to cultivate respect for one ano</w:t>
      </w:r>
      <w:r>
        <w:t xml:space="preserve">ther.  Everyone should be </w:t>
      </w:r>
      <w:r w:rsidR="005A2C07">
        <w:t xml:space="preserve">given </w:t>
      </w:r>
      <w:r>
        <w:t>opportunities to succeed and we believe it is a fundamental right that each person be given support to reach their potential.</w:t>
      </w:r>
      <w:r w:rsidR="005A2C07">
        <w:t xml:space="preserve">  Diversity, disability and difference should be understood and valued by students, parents/carers and staff.</w:t>
      </w:r>
    </w:p>
    <w:p w:rsidR="005A2C07" w:rsidRDefault="005A2C07" w:rsidP="0012015B"/>
    <w:p w:rsidR="005A2C07" w:rsidRDefault="005A2C07" w:rsidP="0012015B">
      <w:pPr>
        <w:rPr>
          <w:b/>
          <w:sz w:val="28"/>
          <w:szCs w:val="28"/>
        </w:rPr>
      </w:pPr>
      <w:r w:rsidRPr="005A2C07">
        <w:rPr>
          <w:b/>
          <w:sz w:val="28"/>
          <w:szCs w:val="28"/>
        </w:rPr>
        <w:t>Disability</w:t>
      </w:r>
    </w:p>
    <w:p w:rsidR="00597D73" w:rsidRPr="00597D73" w:rsidRDefault="34C3A63F" w:rsidP="00597D73">
      <w:r>
        <w:t>A person is disabled “if they have a physical or mental impairment which has a substantial and long-term adverse effect on their ability to carry out normal day-to-day activities”.  This includes physical disabilities, sensory impairments, learning disabilities and some specified medical conditions: HIV, multiple sclerosis and cancer are all considered disabilities, regardless of their effect.</w:t>
      </w:r>
    </w:p>
    <w:p w:rsidR="005A2C07" w:rsidRPr="00597D73" w:rsidRDefault="00597D73" w:rsidP="00597D73">
      <w:pPr>
        <w:rPr>
          <w:i/>
          <w:iCs/>
        </w:rPr>
      </w:pPr>
      <w:r w:rsidRPr="00597D73">
        <w:rPr>
          <w:i/>
          <w:iCs/>
        </w:rPr>
        <w:t>It is important to note that because a pupil has a disability this does not necessarily mean that he/she has</w:t>
      </w:r>
      <w:r>
        <w:rPr>
          <w:i/>
          <w:iCs/>
        </w:rPr>
        <w:t xml:space="preserve"> </w:t>
      </w:r>
      <w:r w:rsidRPr="00597D73">
        <w:rPr>
          <w:i/>
          <w:iCs/>
        </w:rPr>
        <w:t>special educational needs</w:t>
      </w:r>
      <w:r>
        <w:rPr>
          <w:i/>
          <w:iCs/>
        </w:rPr>
        <w:t>.</w:t>
      </w:r>
    </w:p>
    <w:p w:rsidR="005A2C07" w:rsidRDefault="005A2C07" w:rsidP="0012015B"/>
    <w:p w:rsidR="005A2C07" w:rsidRDefault="005A2C07" w:rsidP="0012015B">
      <w:pPr>
        <w:rPr>
          <w:b/>
          <w:sz w:val="28"/>
          <w:szCs w:val="28"/>
        </w:rPr>
      </w:pPr>
      <w:r w:rsidRPr="005A2C07">
        <w:rPr>
          <w:b/>
          <w:sz w:val="28"/>
          <w:szCs w:val="28"/>
        </w:rPr>
        <w:t>The Aim of the Accessibility Plan</w:t>
      </w:r>
    </w:p>
    <w:p w:rsidR="005A2C07" w:rsidRDefault="005A2C07" w:rsidP="005A2C07">
      <w:pPr>
        <w:pStyle w:val="Default"/>
      </w:pPr>
    </w:p>
    <w:p w:rsidR="005A2C07" w:rsidRDefault="005A2C07" w:rsidP="005A2C07">
      <w:r>
        <w:t>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rsidR="00597D73" w:rsidRDefault="49E9B153" w:rsidP="005A2C07">
      <w:r>
        <w:t>Dartmoor Primary Federation will seek to anticipate need and respond accordingly, where practicable and when considered a reasonable adjustment.</w:t>
      </w:r>
    </w:p>
    <w:p w:rsidR="49E9B153" w:rsidRDefault="49E9B153">
      <w:r>
        <w:br w:type="page"/>
      </w:r>
    </w:p>
    <w:p w:rsidR="49E9B153" w:rsidRDefault="49E9B153" w:rsidP="49E9B153"/>
    <w:p w:rsidR="005A2C07" w:rsidRDefault="005A2C07" w:rsidP="005A2C07">
      <w:r>
        <w:t>The Accessibility Plan covers three main strands:</w:t>
      </w:r>
    </w:p>
    <w:p w:rsidR="49E9B153" w:rsidRDefault="49E9B153" w:rsidP="49E9B153">
      <w:pPr>
        <w:pStyle w:val="ListParagraph"/>
        <w:numPr>
          <w:ilvl w:val="0"/>
          <w:numId w:val="2"/>
        </w:numPr>
        <w:ind w:left="360"/>
        <w:rPr>
          <w:b/>
          <w:bCs/>
        </w:rPr>
      </w:pPr>
      <w:r w:rsidRPr="49E9B153">
        <w:rPr>
          <w:b/>
          <w:bCs/>
        </w:rPr>
        <w:t xml:space="preserve">Increasing the extent to which disabled pupils can </w:t>
      </w:r>
      <w:r w:rsidRPr="49E9B153">
        <w:rPr>
          <w:b/>
          <w:bCs/>
          <w:u w:val="single"/>
        </w:rPr>
        <w:t>participate</w:t>
      </w:r>
      <w:r w:rsidRPr="49E9B153">
        <w:rPr>
          <w:b/>
          <w:bCs/>
        </w:rPr>
        <w:t xml:space="preserve"> in the schools’ curriculums.</w:t>
      </w:r>
    </w:p>
    <w:p w:rsidR="49E9B153" w:rsidRDefault="49E9B153" w:rsidP="49E9B153">
      <w:pPr>
        <w:spacing w:after="200" w:line="276" w:lineRule="auto"/>
        <w:ind w:left="360"/>
        <w:jc w:val="both"/>
        <w:rPr>
          <w:rFonts w:eastAsiaTheme="minorEastAsia"/>
          <w:lang w:val="en-US"/>
        </w:rPr>
      </w:pPr>
      <w:r w:rsidRPr="49E9B153">
        <w:rPr>
          <w:rFonts w:eastAsiaTheme="minorEastAsia"/>
          <w:lang w:val="en-US"/>
        </w:rPr>
        <w:t xml:space="preserve">This strand seeks to improve access to a full, broad and balanced curriculum.  It covers a range of elements including ensuring that teaching and learning is accessible through school and curriculum </w:t>
      </w:r>
      <w:proofErr w:type="spellStart"/>
      <w:r w:rsidRPr="49E9B153">
        <w:rPr>
          <w:rFonts w:eastAsiaTheme="minorEastAsia"/>
          <w:lang w:val="en-US"/>
        </w:rPr>
        <w:t>organisation</w:t>
      </w:r>
      <w:proofErr w:type="spellEnd"/>
      <w:r w:rsidRPr="49E9B153">
        <w:rPr>
          <w:rFonts w:eastAsiaTheme="minorEastAsia"/>
          <w:lang w:val="en-US"/>
        </w:rPr>
        <w:t xml:space="preserve"> and support, especially deployment of staff, timetabling, curriculum options and staff information and training.</w:t>
      </w:r>
    </w:p>
    <w:p w:rsidR="49E9B153" w:rsidRDefault="49E9B153" w:rsidP="49E9B153">
      <w:pPr>
        <w:spacing w:after="200" w:line="276" w:lineRule="auto"/>
        <w:ind w:left="360"/>
        <w:jc w:val="both"/>
        <w:rPr>
          <w:rFonts w:eastAsiaTheme="minorEastAsia"/>
        </w:rPr>
      </w:pPr>
      <w:r w:rsidRPr="49E9B153">
        <w:rPr>
          <w:rFonts w:eastAsiaTheme="minorEastAsia"/>
          <w:lang w:val="en-US"/>
        </w:rPr>
        <w:t>Schools will be expected to plan to improve progressive access to the curriculum for all disabled pupils although many adjustments to access will be dependent on individual needs and may be provided through the SEN framework. The accessibility strategies and plans will help to ensure that schools are planning and preparing to respond to the particular needs of pupils.</w:t>
      </w:r>
    </w:p>
    <w:p w:rsidR="49E9B153" w:rsidRDefault="49E9B153" w:rsidP="49E9B153">
      <w:pPr>
        <w:ind w:firstLine="360"/>
        <w:rPr>
          <w:b/>
          <w:bCs/>
        </w:rPr>
      </w:pPr>
    </w:p>
    <w:p w:rsidR="49E9B153" w:rsidRDefault="49E9B153" w:rsidP="49E9B153">
      <w:pPr>
        <w:pStyle w:val="ListParagraph"/>
        <w:numPr>
          <w:ilvl w:val="0"/>
          <w:numId w:val="2"/>
        </w:numPr>
        <w:ind w:left="360"/>
        <w:rPr>
          <w:b/>
          <w:bCs/>
          <w:lang w:val="en-US"/>
        </w:rPr>
      </w:pPr>
      <w:r w:rsidRPr="49E9B153">
        <w:rPr>
          <w:rFonts w:eastAsiaTheme="minorEastAsia"/>
          <w:b/>
          <w:bCs/>
          <w:lang w:val="en-US"/>
        </w:rPr>
        <w:t xml:space="preserve">Improving the </w:t>
      </w:r>
      <w:r w:rsidRPr="49E9B153">
        <w:rPr>
          <w:rFonts w:eastAsiaTheme="minorEastAsia"/>
          <w:b/>
          <w:bCs/>
          <w:u w:val="single"/>
          <w:lang w:val="en-US"/>
        </w:rPr>
        <w:t>physical environmen</w:t>
      </w:r>
      <w:r w:rsidRPr="49E9B153">
        <w:rPr>
          <w:rFonts w:eastAsiaTheme="minorEastAsia"/>
          <w:b/>
          <w:bCs/>
          <w:lang w:val="en-US"/>
        </w:rPr>
        <w:t>t of school for the purpose of increasing the extent to which disabled pupils are able to take advantage of education and associated services.</w:t>
      </w:r>
    </w:p>
    <w:p w:rsidR="49E9B153" w:rsidRDefault="49E9B153" w:rsidP="49E9B153">
      <w:pPr>
        <w:ind w:left="360"/>
        <w:rPr>
          <w:rFonts w:ascii="Segoe UI" w:eastAsia="Segoe UI" w:hAnsi="Segoe UI" w:cs="Segoe UI"/>
          <w:lang w:val="en-US"/>
        </w:rPr>
      </w:pPr>
      <w:r w:rsidRPr="49E9B153">
        <w:rPr>
          <w:rFonts w:ascii="Segoe UI" w:eastAsia="Segoe UI" w:hAnsi="Segoe UI" w:cs="Segoe UI"/>
          <w:lang w:val="en-US"/>
        </w:rPr>
        <w:t xml:space="preserve">This strand covers aids to improve the physical environment of the school and physical aids to access education. The physical environment includes things such as steps, stairways, </w:t>
      </w:r>
      <w:proofErr w:type="spellStart"/>
      <w:r w:rsidRPr="49E9B153">
        <w:rPr>
          <w:rFonts w:ascii="Segoe UI" w:eastAsia="Segoe UI" w:hAnsi="Segoe UI" w:cs="Segoe UI"/>
          <w:lang w:val="en-US"/>
        </w:rPr>
        <w:t>kerbs</w:t>
      </w:r>
      <w:proofErr w:type="spellEnd"/>
      <w:r w:rsidRPr="49E9B153">
        <w:rPr>
          <w:rFonts w:ascii="Segoe UI" w:eastAsia="Segoe UI" w:hAnsi="Segoe UI" w:cs="Segoe UI"/>
          <w:lang w:val="en-US"/>
        </w:rPr>
        <w:t>, exterior surfaces and paving, parking areas, building entrances and exits (including emergency escape routes), internal and external doors, gates, toilets and washing facilities, lighting, ventilation, lifts, floor coverings, signs and furniture. Aids to physical access include ramps, handrails, lifts, widened doorways, electromagnetic doors, adapted toilets and washing facilities, adjustable lighting, blinds, induction loops and way-finding systems.</w:t>
      </w:r>
    </w:p>
    <w:p w:rsidR="49E9B153" w:rsidRDefault="49E9B153" w:rsidP="49E9B153">
      <w:pPr>
        <w:ind w:left="360"/>
        <w:rPr>
          <w:rFonts w:eastAsiaTheme="minorEastAsia"/>
          <w:b/>
          <w:bCs/>
          <w:lang w:val="en-US"/>
        </w:rPr>
      </w:pPr>
    </w:p>
    <w:p w:rsidR="49E9B153" w:rsidRDefault="49E9B153" w:rsidP="49E9B153">
      <w:pPr>
        <w:pStyle w:val="ListParagraph"/>
        <w:numPr>
          <w:ilvl w:val="0"/>
          <w:numId w:val="1"/>
        </w:numPr>
        <w:ind w:left="504"/>
        <w:rPr>
          <w:b/>
          <w:bCs/>
          <w:lang w:val="en-US"/>
        </w:rPr>
      </w:pPr>
      <w:r w:rsidRPr="49E9B153">
        <w:rPr>
          <w:rFonts w:eastAsiaTheme="minorEastAsia"/>
          <w:b/>
          <w:bCs/>
          <w:lang w:val="en-US"/>
        </w:rPr>
        <w:t xml:space="preserve">Improving the </w:t>
      </w:r>
      <w:r w:rsidRPr="49E9B153">
        <w:rPr>
          <w:rFonts w:eastAsiaTheme="minorEastAsia"/>
          <w:b/>
          <w:bCs/>
          <w:u w:val="single"/>
          <w:lang w:val="en-US"/>
        </w:rPr>
        <w:t>delivery of information</w:t>
      </w:r>
      <w:r w:rsidRPr="49E9B153">
        <w:rPr>
          <w:rFonts w:eastAsiaTheme="minorEastAsia"/>
          <w:b/>
          <w:bCs/>
          <w:lang w:val="en-US"/>
        </w:rPr>
        <w:t xml:space="preserve"> to pupils with disabilities.</w:t>
      </w:r>
    </w:p>
    <w:p w:rsidR="49E9B153" w:rsidRDefault="49E9B153" w:rsidP="49E9B153">
      <w:pPr>
        <w:ind w:left="432"/>
        <w:rPr>
          <w:rFonts w:eastAsiaTheme="minorEastAsia"/>
          <w:lang w:val="en-US"/>
        </w:rPr>
      </w:pPr>
      <w:r w:rsidRPr="49E9B153">
        <w:rPr>
          <w:rFonts w:eastAsiaTheme="minorEastAsia"/>
          <w:lang w:val="en-US"/>
        </w:rPr>
        <w:t xml:space="preserve">This part of the duty covers planning to make information normally provided by the school in writing to its pupils – such as handouts, timetables, textbooks, information about school events – available to disabled pupils. This will include alternative formats such as Braille, audio tape and large print and also the provision of information orally, through lip speaking or sign language, through a </w:t>
      </w:r>
      <w:proofErr w:type="spellStart"/>
      <w:r w:rsidRPr="49E9B153">
        <w:rPr>
          <w:rFonts w:eastAsiaTheme="minorEastAsia"/>
          <w:lang w:val="en-US"/>
        </w:rPr>
        <w:t>recognised</w:t>
      </w:r>
      <w:proofErr w:type="spellEnd"/>
      <w:r w:rsidRPr="49E9B153">
        <w:rPr>
          <w:rFonts w:eastAsiaTheme="minorEastAsia"/>
          <w:lang w:val="en-US"/>
        </w:rPr>
        <w:t xml:space="preserve"> symbol system or ICT. The information should take account of the pupils’ disabilities and views expressed by pupils and their parents about their preferred means of communication.  The school should consider how all information normally provided in a written format including worksheets, timetables, school examination papers, newsletters, information about school events, trips and extra-curricular provision could be made accessible to all those with a disability.</w:t>
      </w:r>
    </w:p>
    <w:p w:rsidR="49E9B153" w:rsidRDefault="49E9B153">
      <w:r>
        <w:br w:type="page"/>
      </w:r>
    </w:p>
    <w:tbl>
      <w:tblPr>
        <w:tblStyle w:val="TableGrid"/>
        <w:tblW w:w="0" w:type="auto"/>
        <w:tblInd w:w="432" w:type="dxa"/>
        <w:tblLayout w:type="fixed"/>
        <w:tblLook w:val="06A0"/>
      </w:tblPr>
      <w:tblGrid>
        <w:gridCol w:w="3080"/>
        <w:gridCol w:w="3080"/>
        <w:gridCol w:w="2625"/>
        <w:gridCol w:w="2415"/>
        <w:gridCol w:w="3669"/>
      </w:tblGrid>
      <w:tr w:rsidR="49E9B153" w:rsidTr="10A45ADC">
        <w:tc>
          <w:tcPr>
            <w:tcW w:w="14869" w:type="dxa"/>
            <w:gridSpan w:val="5"/>
            <w:shd w:val="clear" w:color="auto" w:fill="9CC2E5" w:themeFill="accent1" w:themeFillTint="99"/>
          </w:tcPr>
          <w:p w:rsidR="49E9B153" w:rsidRDefault="49E9B153" w:rsidP="49E9B153">
            <w:pPr>
              <w:rPr>
                <w:rFonts w:eastAsiaTheme="minorEastAsia"/>
                <w:b/>
                <w:bCs/>
                <w:lang w:val="en-US"/>
              </w:rPr>
            </w:pPr>
            <w:r w:rsidRPr="49E9B153">
              <w:rPr>
                <w:rFonts w:eastAsiaTheme="minorEastAsia"/>
                <w:b/>
                <w:bCs/>
                <w:lang w:val="en-US"/>
              </w:rPr>
              <w:lastRenderedPageBreak/>
              <w:t>STRAND A: Increasing Access to the Curriculum</w:t>
            </w:r>
          </w:p>
        </w:tc>
      </w:tr>
      <w:tr w:rsidR="49E9B153" w:rsidTr="10A45ADC">
        <w:tc>
          <w:tcPr>
            <w:tcW w:w="3080" w:type="dxa"/>
            <w:shd w:val="clear" w:color="auto" w:fill="9CC2E5" w:themeFill="accent1" w:themeFillTint="99"/>
          </w:tcPr>
          <w:p w:rsidR="49E9B153" w:rsidRDefault="49E9B153" w:rsidP="49E9B153">
            <w:pPr>
              <w:rPr>
                <w:rFonts w:eastAsiaTheme="minorEastAsia"/>
                <w:b/>
                <w:bCs/>
                <w:lang w:val="en-US"/>
              </w:rPr>
            </w:pPr>
            <w:r w:rsidRPr="49E9B153">
              <w:rPr>
                <w:rFonts w:eastAsiaTheme="minorEastAsia"/>
                <w:b/>
                <w:bCs/>
                <w:lang w:val="en-US"/>
              </w:rPr>
              <w:t>Target</w:t>
            </w:r>
          </w:p>
        </w:tc>
        <w:tc>
          <w:tcPr>
            <w:tcW w:w="3080" w:type="dxa"/>
            <w:shd w:val="clear" w:color="auto" w:fill="9CC2E5" w:themeFill="accent1" w:themeFillTint="99"/>
          </w:tcPr>
          <w:p w:rsidR="49E9B153" w:rsidRDefault="49E9B153" w:rsidP="49E9B153">
            <w:pPr>
              <w:rPr>
                <w:rFonts w:eastAsiaTheme="minorEastAsia"/>
                <w:b/>
                <w:bCs/>
                <w:lang w:val="en-US"/>
              </w:rPr>
            </w:pPr>
            <w:r w:rsidRPr="49E9B153">
              <w:rPr>
                <w:rFonts w:eastAsiaTheme="minorEastAsia"/>
                <w:b/>
                <w:bCs/>
                <w:lang w:val="en-US"/>
              </w:rPr>
              <w:t>Action</w:t>
            </w:r>
          </w:p>
        </w:tc>
        <w:tc>
          <w:tcPr>
            <w:tcW w:w="2625" w:type="dxa"/>
            <w:shd w:val="clear" w:color="auto" w:fill="9CC2E5" w:themeFill="accent1" w:themeFillTint="99"/>
          </w:tcPr>
          <w:p w:rsidR="49E9B153" w:rsidRDefault="49E9B153" w:rsidP="49E9B153">
            <w:pPr>
              <w:rPr>
                <w:rFonts w:eastAsiaTheme="minorEastAsia"/>
                <w:b/>
                <w:bCs/>
                <w:lang w:val="en-US"/>
              </w:rPr>
            </w:pPr>
            <w:r w:rsidRPr="49E9B153">
              <w:rPr>
                <w:rFonts w:eastAsiaTheme="minorEastAsia"/>
                <w:b/>
                <w:bCs/>
                <w:lang w:val="en-US"/>
              </w:rPr>
              <w:t>Resources/cost</w:t>
            </w:r>
          </w:p>
        </w:tc>
        <w:tc>
          <w:tcPr>
            <w:tcW w:w="2415" w:type="dxa"/>
            <w:shd w:val="clear" w:color="auto" w:fill="9CC2E5" w:themeFill="accent1" w:themeFillTint="99"/>
          </w:tcPr>
          <w:p w:rsidR="49E9B153" w:rsidRDefault="49E9B153" w:rsidP="49E9B153">
            <w:pPr>
              <w:rPr>
                <w:rFonts w:eastAsiaTheme="minorEastAsia"/>
                <w:b/>
                <w:bCs/>
                <w:lang w:val="en-US"/>
              </w:rPr>
            </w:pPr>
            <w:r w:rsidRPr="49E9B153">
              <w:rPr>
                <w:rFonts w:eastAsiaTheme="minorEastAsia"/>
                <w:b/>
                <w:bCs/>
                <w:lang w:val="en-US"/>
              </w:rPr>
              <w:t>Person(s) responsible/time frame</w:t>
            </w:r>
          </w:p>
        </w:tc>
        <w:tc>
          <w:tcPr>
            <w:tcW w:w="3669" w:type="dxa"/>
            <w:shd w:val="clear" w:color="auto" w:fill="9CC2E5" w:themeFill="accent1" w:themeFillTint="99"/>
          </w:tcPr>
          <w:p w:rsidR="49E9B153" w:rsidRDefault="49E9B153" w:rsidP="49E9B153">
            <w:pPr>
              <w:rPr>
                <w:rFonts w:eastAsiaTheme="minorEastAsia"/>
                <w:b/>
                <w:bCs/>
                <w:lang w:val="en-US"/>
              </w:rPr>
            </w:pPr>
            <w:r w:rsidRPr="49E9B153">
              <w:rPr>
                <w:rFonts w:eastAsiaTheme="minorEastAsia"/>
                <w:b/>
                <w:bCs/>
                <w:lang w:val="en-US"/>
              </w:rPr>
              <w:t>Outcome</w:t>
            </w:r>
          </w:p>
        </w:tc>
      </w:tr>
      <w:tr w:rsidR="49E9B153" w:rsidTr="10A45ADC">
        <w:tc>
          <w:tcPr>
            <w:tcW w:w="3080" w:type="dxa"/>
          </w:tcPr>
          <w:p w:rsidR="49E9B153" w:rsidRDefault="49E9B153" w:rsidP="49E9B153">
            <w:pPr>
              <w:rPr>
                <w:rFonts w:eastAsiaTheme="minorEastAsia"/>
                <w:lang w:val="en-US"/>
              </w:rPr>
            </w:pPr>
            <w:r w:rsidRPr="49E9B153">
              <w:rPr>
                <w:rFonts w:eastAsiaTheme="minorEastAsia"/>
                <w:lang w:val="en-US"/>
              </w:rPr>
              <w:t>Develop staff knowledge of learning /physical disabilities and the Graduated Response used to support pupils.</w:t>
            </w:r>
          </w:p>
        </w:tc>
        <w:tc>
          <w:tcPr>
            <w:tcW w:w="3080" w:type="dxa"/>
          </w:tcPr>
          <w:p w:rsidR="49E9B153" w:rsidRDefault="49E9B153" w:rsidP="49E9B153">
            <w:pPr>
              <w:rPr>
                <w:rFonts w:eastAsiaTheme="minorEastAsia"/>
                <w:lang w:val="en-US"/>
              </w:rPr>
            </w:pPr>
            <w:r w:rsidRPr="49E9B153">
              <w:rPr>
                <w:rFonts w:eastAsiaTheme="minorEastAsia"/>
                <w:lang w:val="en-US"/>
              </w:rPr>
              <w:t>Provide information on types of SEN to all staff which is linked to the descriptors in Devon’s Graduated Response Tool.  SDW to create a booklet that includes said information.</w:t>
            </w:r>
          </w:p>
        </w:tc>
        <w:tc>
          <w:tcPr>
            <w:tcW w:w="2625" w:type="dxa"/>
          </w:tcPr>
          <w:p w:rsidR="49E9B153" w:rsidRDefault="49E9B153" w:rsidP="49E9B153">
            <w:pPr>
              <w:rPr>
                <w:rFonts w:eastAsiaTheme="minorEastAsia"/>
                <w:lang w:val="en-US"/>
              </w:rPr>
            </w:pPr>
            <w:r w:rsidRPr="49E9B153">
              <w:rPr>
                <w:rFonts w:eastAsiaTheme="minorEastAsia"/>
                <w:lang w:val="en-US"/>
              </w:rPr>
              <w:t>Cost of printing.</w:t>
            </w:r>
          </w:p>
        </w:tc>
        <w:tc>
          <w:tcPr>
            <w:tcW w:w="2415" w:type="dxa"/>
          </w:tcPr>
          <w:p w:rsidR="49E9B153" w:rsidRDefault="49E9B153" w:rsidP="49E9B153">
            <w:pPr>
              <w:rPr>
                <w:rFonts w:eastAsiaTheme="minorEastAsia"/>
                <w:lang w:val="en-US"/>
              </w:rPr>
            </w:pPr>
            <w:r w:rsidRPr="49E9B153">
              <w:rPr>
                <w:rFonts w:eastAsiaTheme="minorEastAsia"/>
                <w:lang w:val="en-US"/>
              </w:rPr>
              <w:t>SDW – spring 2019.</w:t>
            </w:r>
          </w:p>
        </w:tc>
        <w:tc>
          <w:tcPr>
            <w:tcW w:w="3669" w:type="dxa"/>
          </w:tcPr>
          <w:p w:rsidR="49E9B153" w:rsidRDefault="49E9B153" w:rsidP="49E9B153">
            <w:pPr>
              <w:rPr>
                <w:rFonts w:eastAsiaTheme="minorEastAsia"/>
                <w:lang w:val="en-US"/>
              </w:rPr>
            </w:pPr>
            <w:r w:rsidRPr="49E9B153">
              <w:rPr>
                <w:rFonts w:eastAsiaTheme="minorEastAsia"/>
                <w:lang w:val="en-US"/>
              </w:rPr>
              <w:t>Heads of School have distributed the SEN Booklet 2019 through staff meetings in spring term.</w:t>
            </w:r>
          </w:p>
        </w:tc>
      </w:tr>
      <w:tr w:rsidR="49E9B153" w:rsidTr="10A45ADC">
        <w:tc>
          <w:tcPr>
            <w:tcW w:w="3080" w:type="dxa"/>
          </w:tcPr>
          <w:p w:rsidR="49E9B153" w:rsidRDefault="49E9B153" w:rsidP="49E9B153">
            <w:pPr>
              <w:rPr>
                <w:rFonts w:eastAsiaTheme="minorEastAsia"/>
                <w:lang w:val="en-US"/>
              </w:rPr>
            </w:pPr>
            <w:r w:rsidRPr="49E9B153">
              <w:rPr>
                <w:rFonts w:eastAsiaTheme="minorEastAsia"/>
                <w:lang w:val="en-US"/>
              </w:rPr>
              <w:t>Ensure staff awareness of students’ needs.</w:t>
            </w:r>
          </w:p>
        </w:tc>
        <w:tc>
          <w:tcPr>
            <w:tcW w:w="3080" w:type="dxa"/>
          </w:tcPr>
          <w:p w:rsidR="49E9B153" w:rsidRDefault="49E9B153" w:rsidP="49E9B153">
            <w:pPr>
              <w:rPr>
                <w:rFonts w:eastAsiaTheme="minorEastAsia"/>
                <w:lang w:val="en-US"/>
              </w:rPr>
            </w:pPr>
            <w:r w:rsidRPr="49E9B153">
              <w:rPr>
                <w:rFonts w:eastAsiaTheme="minorEastAsia"/>
                <w:lang w:val="en-US"/>
              </w:rPr>
              <w:t>Ensure SEN registers are kept updated and that staff are aware of the types of need within the school.</w:t>
            </w:r>
          </w:p>
        </w:tc>
        <w:tc>
          <w:tcPr>
            <w:tcW w:w="2625" w:type="dxa"/>
          </w:tcPr>
          <w:p w:rsidR="49E9B153" w:rsidRDefault="49E9B153" w:rsidP="49E9B153">
            <w:pPr>
              <w:rPr>
                <w:rFonts w:eastAsiaTheme="minorEastAsia"/>
                <w:lang w:val="en-US"/>
              </w:rPr>
            </w:pPr>
            <w:r w:rsidRPr="49E9B153">
              <w:rPr>
                <w:rFonts w:eastAsiaTheme="minorEastAsia"/>
                <w:lang w:val="en-US"/>
              </w:rPr>
              <w:t>N/A</w:t>
            </w:r>
          </w:p>
        </w:tc>
        <w:tc>
          <w:tcPr>
            <w:tcW w:w="2415" w:type="dxa"/>
          </w:tcPr>
          <w:p w:rsidR="49E9B153" w:rsidRDefault="49E9B153" w:rsidP="49E9B153">
            <w:pPr>
              <w:rPr>
                <w:rFonts w:eastAsiaTheme="minorEastAsia"/>
                <w:lang w:val="en-US"/>
              </w:rPr>
            </w:pPr>
            <w:r w:rsidRPr="49E9B153">
              <w:rPr>
                <w:rFonts w:eastAsiaTheme="minorEastAsia"/>
                <w:lang w:val="en-US"/>
              </w:rPr>
              <w:t>SDW/Heads of School.  Termly/half-termly – ongoing.</w:t>
            </w:r>
          </w:p>
        </w:tc>
        <w:tc>
          <w:tcPr>
            <w:tcW w:w="3669" w:type="dxa"/>
          </w:tcPr>
          <w:p w:rsidR="49E9B153" w:rsidRDefault="49E9B153" w:rsidP="49E9B153">
            <w:pPr>
              <w:rPr>
                <w:rFonts w:eastAsiaTheme="minorEastAsia"/>
                <w:lang w:val="en-US"/>
              </w:rPr>
            </w:pPr>
            <w:r w:rsidRPr="49E9B153">
              <w:rPr>
                <w:rFonts w:eastAsiaTheme="minorEastAsia"/>
                <w:lang w:val="en-US"/>
              </w:rPr>
              <w:t>SDW updates the SEN register for each school on a termly basis.  This is shared with staff through Heads of School and the information is updated on SIMs.</w:t>
            </w:r>
          </w:p>
        </w:tc>
      </w:tr>
      <w:tr w:rsidR="49E9B153" w:rsidTr="10A45ADC">
        <w:tc>
          <w:tcPr>
            <w:tcW w:w="3080" w:type="dxa"/>
          </w:tcPr>
          <w:p w:rsidR="49E9B153" w:rsidRDefault="49E9B153" w:rsidP="49E9B153">
            <w:pPr>
              <w:rPr>
                <w:rFonts w:eastAsiaTheme="minorEastAsia"/>
                <w:lang w:val="en-US"/>
              </w:rPr>
            </w:pPr>
            <w:r w:rsidRPr="49E9B153">
              <w:rPr>
                <w:rFonts w:eastAsiaTheme="minorEastAsia"/>
                <w:lang w:val="en-US"/>
              </w:rPr>
              <w:t>Ensure staff awareness of students’ needs and embed target setting/reviews for students with SEN in line with the Plan, Do, Assess and Review cycle as stipulated in the SEN Code of Practice.</w:t>
            </w:r>
          </w:p>
        </w:tc>
        <w:tc>
          <w:tcPr>
            <w:tcW w:w="3080" w:type="dxa"/>
          </w:tcPr>
          <w:p w:rsidR="49E9B153" w:rsidRDefault="49E9B153" w:rsidP="49E9B153">
            <w:pPr>
              <w:rPr>
                <w:rFonts w:eastAsiaTheme="minorEastAsia"/>
                <w:lang w:val="en-US"/>
              </w:rPr>
            </w:pPr>
            <w:r w:rsidRPr="49E9B153">
              <w:rPr>
                <w:rFonts w:eastAsiaTheme="minorEastAsia"/>
                <w:lang w:val="en-US"/>
              </w:rPr>
              <w:t xml:space="preserve">Each SEND pupil has a SEN Support Plan which is reviewed </w:t>
            </w:r>
            <w:proofErr w:type="gramStart"/>
            <w:r w:rsidRPr="49E9B153">
              <w:rPr>
                <w:rFonts w:eastAsiaTheme="minorEastAsia"/>
                <w:lang w:val="en-US"/>
              </w:rPr>
              <w:t>either termly</w:t>
            </w:r>
            <w:proofErr w:type="gramEnd"/>
            <w:r w:rsidRPr="49E9B153">
              <w:rPr>
                <w:rFonts w:eastAsiaTheme="minorEastAsia"/>
                <w:lang w:val="en-US"/>
              </w:rPr>
              <w:t xml:space="preserve"> or half termly, dependent upon level of need, in SEN review meetings.  These meetings can include external agencies such as members of the Communication and Interaction Team or the Educational Psychologist. </w:t>
            </w:r>
          </w:p>
        </w:tc>
        <w:tc>
          <w:tcPr>
            <w:tcW w:w="2625" w:type="dxa"/>
          </w:tcPr>
          <w:p w:rsidR="49E9B153" w:rsidRDefault="49E9B153" w:rsidP="49E9B153">
            <w:pPr>
              <w:rPr>
                <w:rFonts w:eastAsiaTheme="minorEastAsia"/>
                <w:lang w:val="en-US"/>
              </w:rPr>
            </w:pPr>
            <w:r w:rsidRPr="49E9B153">
              <w:rPr>
                <w:rFonts w:eastAsiaTheme="minorEastAsia"/>
                <w:lang w:val="en-US"/>
              </w:rPr>
              <w:t>N/A (cover for teachers/Heads of School to attend meetings - usually covered by in-house capacity).</w:t>
            </w:r>
          </w:p>
        </w:tc>
        <w:tc>
          <w:tcPr>
            <w:tcW w:w="2415" w:type="dxa"/>
          </w:tcPr>
          <w:p w:rsidR="49E9B153" w:rsidRDefault="49E9B153" w:rsidP="49E9B153">
            <w:pPr>
              <w:rPr>
                <w:rFonts w:eastAsiaTheme="minorEastAsia"/>
                <w:lang w:val="en-US"/>
              </w:rPr>
            </w:pPr>
            <w:r w:rsidRPr="49E9B153">
              <w:rPr>
                <w:rFonts w:eastAsiaTheme="minorEastAsia"/>
                <w:lang w:val="en-US"/>
              </w:rPr>
              <w:t>SDW/Heads of School/class teachers. Termly/half-termly – ongoing.</w:t>
            </w:r>
          </w:p>
        </w:tc>
        <w:tc>
          <w:tcPr>
            <w:tcW w:w="3669" w:type="dxa"/>
          </w:tcPr>
          <w:p w:rsidR="49E9B153" w:rsidRDefault="49E9B153" w:rsidP="49E9B153">
            <w:pPr>
              <w:rPr>
                <w:rFonts w:eastAsiaTheme="minorEastAsia"/>
                <w:lang w:val="en-US"/>
              </w:rPr>
            </w:pPr>
            <w:r w:rsidRPr="49E9B153">
              <w:rPr>
                <w:rFonts w:eastAsiaTheme="minorEastAsia"/>
                <w:lang w:val="en-US"/>
              </w:rPr>
              <w:t>Parents/</w:t>
            </w:r>
            <w:proofErr w:type="spellStart"/>
            <w:r w:rsidRPr="49E9B153">
              <w:rPr>
                <w:rFonts w:eastAsiaTheme="minorEastAsia"/>
                <w:lang w:val="en-US"/>
              </w:rPr>
              <w:t>carers</w:t>
            </w:r>
            <w:proofErr w:type="spellEnd"/>
            <w:r w:rsidRPr="49E9B153">
              <w:rPr>
                <w:rFonts w:eastAsiaTheme="minorEastAsia"/>
                <w:lang w:val="en-US"/>
              </w:rPr>
              <w:t xml:space="preserve">, teachers and the </w:t>
            </w:r>
            <w:proofErr w:type="spellStart"/>
            <w:r w:rsidRPr="49E9B153">
              <w:rPr>
                <w:rFonts w:eastAsiaTheme="minorEastAsia"/>
                <w:lang w:val="en-US"/>
              </w:rPr>
              <w:t>SENCo</w:t>
            </w:r>
            <w:proofErr w:type="spellEnd"/>
            <w:r w:rsidRPr="49E9B153">
              <w:rPr>
                <w:rFonts w:eastAsiaTheme="minorEastAsia"/>
                <w:lang w:val="en-US"/>
              </w:rPr>
              <w:t xml:space="preserve"> are involved in reviewing the plans.  Dates are set in termly planning meetings between the </w:t>
            </w:r>
            <w:proofErr w:type="spellStart"/>
            <w:r w:rsidRPr="49E9B153">
              <w:rPr>
                <w:rFonts w:eastAsiaTheme="minorEastAsia"/>
                <w:lang w:val="en-US"/>
              </w:rPr>
              <w:t>SENCo</w:t>
            </w:r>
            <w:proofErr w:type="spellEnd"/>
            <w:r w:rsidRPr="49E9B153">
              <w:rPr>
                <w:rFonts w:eastAsiaTheme="minorEastAsia"/>
                <w:lang w:val="en-US"/>
              </w:rPr>
              <w:t xml:space="preserve"> and Heads of School, and these are shared with staff in order that they can prepare.</w:t>
            </w:r>
          </w:p>
          <w:p w:rsidR="49E9B153" w:rsidRDefault="49E9B153" w:rsidP="49E9B153">
            <w:pPr>
              <w:rPr>
                <w:rFonts w:eastAsiaTheme="minorEastAsia"/>
                <w:lang w:val="en-US"/>
              </w:rPr>
            </w:pPr>
            <w:r w:rsidRPr="49E9B153">
              <w:rPr>
                <w:rFonts w:eastAsiaTheme="minorEastAsia"/>
                <w:lang w:val="en-US"/>
              </w:rPr>
              <w:t>The SEN Support Plans are passed on to the pupils’ choice of secondary education as part of the transition process.  This ensures that secondary colleagues have relevant information regarding students’ needs.</w:t>
            </w:r>
          </w:p>
        </w:tc>
      </w:tr>
      <w:tr w:rsidR="49E9B153" w:rsidTr="10A45ADC">
        <w:tc>
          <w:tcPr>
            <w:tcW w:w="3080" w:type="dxa"/>
          </w:tcPr>
          <w:p w:rsidR="49E9B153" w:rsidRDefault="49E9B153" w:rsidP="49E9B153">
            <w:pPr>
              <w:rPr>
                <w:rFonts w:eastAsiaTheme="minorEastAsia"/>
                <w:lang w:val="en-US"/>
              </w:rPr>
            </w:pPr>
            <w:r w:rsidRPr="49E9B153">
              <w:rPr>
                <w:rFonts w:eastAsiaTheme="minorEastAsia"/>
                <w:lang w:val="en-US"/>
              </w:rPr>
              <w:t>Ensure staff awareness of students’ needs.</w:t>
            </w:r>
          </w:p>
        </w:tc>
        <w:tc>
          <w:tcPr>
            <w:tcW w:w="3080" w:type="dxa"/>
          </w:tcPr>
          <w:p w:rsidR="49E9B153" w:rsidRDefault="49E9B153" w:rsidP="49E9B153">
            <w:pPr>
              <w:rPr>
                <w:rFonts w:eastAsiaTheme="minorEastAsia"/>
                <w:lang w:val="en-US"/>
              </w:rPr>
            </w:pPr>
            <w:r w:rsidRPr="49E9B153">
              <w:rPr>
                <w:rFonts w:eastAsiaTheme="minorEastAsia"/>
                <w:lang w:val="en-US"/>
              </w:rPr>
              <w:t>All documents relating to SEND pupils are kept electronically on SIMS.</w:t>
            </w:r>
          </w:p>
        </w:tc>
        <w:tc>
          <w:tcPr>
            <w:tcW w:w="2625" w:type="dxa"/>
          </w:tcPr>
          <w:p w:rsidR="49E9B153" w:rsidRDefault="49E9B153" w:rsidP="49E9B153">
            <w:pPr>
              <w:rPr>
                <w:rFonts w:eastAsiaTheme="minorEastAsia"/>
                <w:lang w:val="en-US"/>
              </w:rPr>
            </w:pPr>
            <w:r w:rsidRPr="49E9B153">
              <w:rPr>
                <w:rFonts w:eastAsiaTheme="minorEastAsia"/>
                <w:lang w:val="en-US"/>
              </w:rPr>
              <w:t>Twilight training session on SIMs for all staff.</w:t>
            </w:r>
          </w:p>
        </w:tc>
        <w:tc>
          <w:tcPr>
            <w:tcW w:w="2415" w:type="dxa"/>
          </w:tcPr>
          <w:p w:rsidR="49E9B153" w:rsidRDefault="49E9B153" w:rsidP="49E9B153">
            <w:pPr>
              <w:rPr>
                <w:rFonts w:eastAsiaTheme="minorEastAsia"/>
                <w:lang w:val="en-US"/>
              </w:rPr>
            </w:pPr>
            <w:r w:rsidRPr="49E9B153">
              <w:rPr>
                <w:rFonts w:eastAsiaTheme="minorEastAsia"/>
                <w:lang w:val="en-US"/>
              </w:rPr>
              <w:t>SDW/NM (Procurement and GDPR) - summer term.</w:t>
            </w:r>
          </w:p>
        </w:tc>
        <w:tc>
          <w:tcPr>
            <w:tcW w:w="3669" w:type="dxa"/>
          </w:tcPr>
          <w:p w:rsidR="49E9B153" w:rsidRDefault="49E9B153" w:rsidP="49E9B153">
            <w:pPr>
              <w:rPr>
                <w:rFonts w:eastAsiaTheme="minorEastAsia"/>
                <w:lang w:val="en-US"/>
              </w:rPr>
            </w:pPr>
            <w:r w:rsidRPr="49E9B153">
              <w:rPr>
                <w:rFonts w:eastAsiaTheme="minorEastAsia"/>
                <w:lang w:val="en-US"/>
              </w:rPr>
              <w:t xml:space="preserve">SDW/NM to deliver training to all primary school staff on how to use SIMs to access students’ documentation. </w:t>
            </w:r>
          </w:p>
          <w:p w:rsidR="49E9B153" w:rsidRDefault="49E9B153" w:rsidP="49E9B153">
            <w:pPr>
              <w:rPr>
                <w:rFonts w:eastAsiaTheme="minorEastAsia"/>
                <w:lang w:val="en-US"/>
              </w:rPr>
            </w:pPr>
            <w:r w:rsidRPr="49E9B153">
              <w:rPr>
                <w:rFonts w:eastAsiaTheme="minorEastAsia"/>
                <w:lang w:val="en-US"/>
              </w:rPr>
              <w:t>Adding all documents received/generated about SEN students to SIMs ensures that documents move swiftly upon transition and that the schools are also GDPR compliant.</w:t>
            </w:r>
          </w:p>
        </w:tc>
      </w:tr>
      <w:tr w:rsidR="49E9B153" w:rsidTr="10A45ADC">
        <w:tc>
          <w:tcPr>
            <w:tcW w:w="3080" w:type="dxa"/>
          </w:tcPr>
          <w:p w:rsidR="49E9B153" w:rsidRDefault="49E9B153" w:rsidP="49E9B153">
            <w:pPr>
              <w:rPr>
                <w:rFonts w:eastAsiaTheme="minorEastAsia"/>
                <w:lang w:val="en-US"/>
              </w:rPr>
            </w:pPr>
            <w:r w:rsidRPr="49E9B153">
              <w:rPr>
                <w:rFonts w:eastAsiaTheme="minorEastAsia"/>
                <w:lang w:val="en-US"/>
              </w:rPr>
              <w:t xml:space="preserve">For staff to develop their ability </w:t>
            </w:r>
            <w:r w:rsidRPr="49E9B153">
              <w:rPr>
                <w:rFonts w:eastAsiaTheme="minorEastAsia"/>
                <w:lang w:val="en-US"/>
              </w:rPr>
              <w:lastRenderedPageBreak/>
              <w:t>to differentiate the curriculum for students with SEND.</w:t>
            </w:r>
          </w:p>
        </w:tc>
        <w:tc>
          <w:tcPr>
            <w:tcW w:w="3080" w:type="dxa"/>
          </w:tcPr>
          <w:p w:rsidR="49E9B153" w:rsidRDefault="49E9B153" w:rsidP="49E9B153">
            <w:pPr>
              <w:rPr>
                <w:rFonts w:eastAsiaTheme="minorEastAsia"/>
                <w:lang w:val="en-US"/>
              </w:rPr>
            </w:pPr>
            <w:r w:rsidRPr="49E9B153">
              <w:rPr>
                <w:rFonts w:eastAsiaTheme="minorEastAsia"/>
                <w:lang w:val="en-US"/>
              </w:rPr>
              <w:lastRenderedPageBreak/>
              <w:t xml:space="preserve">Staff skill audit to determine </w:t>
            </w:r>
            <w:r w:rsidRPr="49E9B153">
              <w:rPr>
                <w:rFonts w:eastAsiaTheme="minorEastAsia"/>
                <w:lang w:val="en-US"/>
              </w:rPr>
              <w:lastRenderedPageBreak/>
              <w:t xml:space="preserve">training needs. </w:t>
            </w: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Performance management process.</w:t>
            </w:r>
          </w:p>
          <w:p w:rsidR="49E9B153" w:rsidRDefault="49E9B153" w:rsidP="49E9B153">
            <w:pPr>
              <w:rPr>
                <w:rFonts w:eastAsiaTheme="minorEastAsia"/>
                <w:lang w:val="en-US"/>
              </w:rPr>
            </w:pPr>
          </w:p>
        </w:tc>
        <w:tc>
          <w:tcPr>
            <w:tcW w:w="2625" w:type="dxa"/>
          </w:tcPr>
          <w:p w:rsidR="49E9B153" w:rsidRDefault="49E9B153" w:rsidP="49E9B153">
            <w:pPr>
              <w:rPr>
                <w:rFonts w:eastAsiaTheme="minorEastAsia"/>
                <w:lang w:val="en-US"/>
              </w:rPr>
            </w:pPr>
            <w:r w:rsidRPr="49E9B153">
              <w:rPr>
                <w:rFonts w:eastAsiaTheme="minorEastAsia"/>
                <w:lang w:val="en-US"/>
              </w:rPr>
              <w:lastRenderedPageBreak/>
              <w:t>Questionnaire to all staff.</w:t>
            </w: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Cover where required.</w:t>
            </w:r>
          </w:p>
          <w:p w:rsidR="49E9B153" w:rsidRDefault="49E9B153" w:rsidP="49E9B153">
            <w:pPr>
              <w:rPr>
                <w:rFonts w:eastAsiaTheme="minorEastAsia"/>
                <w:lang w:val="en-US"/>
              </w:rPr>
            </w:pPr>
          </w:p>
        </w:tc>
        <w:tc>
          <w:tcPr>
            <w:tcW w:w="2415" w:type="dxa"/>
          </w:tcPr>
          <w:p w:rsidR="49E9B153" w:rsidRDefault="49E9B153" w:rsidP="49E9B153">
            <w:pPr>
              <w:rPr>
                <w:rFonts w:eastAsiaTheme="minorEastAsia"/>
                <w:lang w:val="en-US"/>
              </w:rPr>
            </w:pPr>
            <w:r w:rsidRPr="49E9B153">
              <w:rPr>
                <w:rFonts w:eastAsiaTheme="minorEastAsia"/>
                <w:lang w:val="en-US"/>
              </w:rPr>
              <w:lastRenderedPageBreak/>
              <w:t xml:space="preserve">SDW – autumn term – </w:t>
            </w:r>
            <w:r w:rsidRPr="49E9B153">
              <w:rPr>
                <w:rFonts w:eastAsiaTheme="minorEastAsia"/>
                <w:lang w:val="en-US"/>
              </w:rPr>
              <w:lastRenderedPageBreak/>
              <w:t>completed.  To be repeated in autumn 2019.</w:t>
            </w: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Heads of School/SDW - ongoing.</w:t>
            </w:r>
          </w:p>
        </w:tc>
        <w:tc>
          <w:tcPr>
            <w:tcW w:w="3669" w:type="dxa"/>
          </w:tcPr>
          <w:p w:rsidR="49E9B153" w:rsidRDefault="49E9B153" w:rsidP="49E9B153">
            <w:pPr>
              <w:rPr>
                <w:rFonts w:eastAsiaTheme="minorEastAsia"/>
                <w:lang w:val="en-US"/>
              </w:rPr>
            </w:pPr>
            <w:r w:rsidRPr="49E9B153">
              <w:rPr>
                <w:rFonts w:eastAsiaTheme="minorEastAsia"/>
                <w:lang w:val="en-US"/>
              </w:rPr>
              <w:lastRenderedPageBreak/>
              <w:t xml:space="preserve">Staff questionnaires enabled the </w:t>
            </w:r>
            <w:r w:rsidRPr="49E9B153">
              <w:rPr>
                <w:rFonts w:eastAsiaTheme="minorEastAsia"/>
                <w:lang w:val="en-US"/>
              </w:rPr>
              <w:lastRenderedPageBreak/>
              <w:t>Federation to identify gaps in knowledge and acknowledge training requests.</w:t>
            </w: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Performance management conversations are opportunities to provide Continuing Professional Development for developing staff members’ ability to differentiate.</w:t>
            </w:r>
          </w:p>
        </w:tc>
      </w:tr>
      <w:tr w:rsidR="49E9B153" w:rsidTr="10A45ADC">
        <w:tc>
          <w:tcPr>
            <w:tcW w:w="3080" w:type="dxa"/>
          </w:tcPr>
          <w:p w:rsidR="49E9B153" w:rsidRDefault="49E9B153" w:rsidP="49E9B153">
            <w:pPr>
              <w:rPr>
                <w:rFonts w:eastAsiaTheme="minorEastAsia"/>
                <w:lang w:val="en-US"/>
              </w:rPr>
            </w:pPr>
            <w:r w:rsidRPr="49E9B153">
              <w:rPr>
                <w:rFonts w:eastAsiaTheme="minorEastAsia"/>
                <w:lang w:val="en-US"/>
              </w:rPr>
              <w:lastRenderedPageBreak/>
              <w:t>For staff to develop their ability to differentiate the curriculum for students with SEND.</w:t>
            </w:r>
          </w:p>
          <w:p w:rsidR="49E9B153" w:rsidRDefault="49E9B153" w:rsidP="49E9B153">
            <w:pPr>
              <w:rPr>
                <w:rFonts w:eastAsiaTheme="minorEastAsia"/>
                <w:lang w:val="en-US"/>
              </w:rPr>
            </w:pPr>
          </w:p>
        </w:tc>
        <w:tc>
          <w:tcPr>
            <w:tcW w:w="3080" w:type="dxa"/>
          </w:tcPr>
          <w:p w:rsidR="49E9B153" w:rsidRDefault="49E9B153" w:rsidP="49E9B153">
            <w:pPr>
              <w:rPr>
                <w:rFonts w:eastAsiaTheme="minorEastAsia"/>
                <w:lang w:val="en-US"/>
              </w:rPr>
            </w:pPr>
            <w:r w:rsidRPr="49E9B153">
              <w:rPr>
                <w:rFonts w:eastAsiaTheme="minorEastAsia"/>
                <w:lang w:val="en-US"/>
              </w:rPr>
              <w:t xml:space="preserve">Identify gaps in knowledge/ training requests and provide training/advice where necessary.  </w:t>
            </w: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Use external advice/training advisors.</w:t>
            </w: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Attending relevant training courses.</w:t>
            </w:r>
          </w:p>
          <w:p w:rsidR="49E9B153" w:rsidRDefault="49E9B153" w:rsidP="49E9B153">
            <w:pPr>
              <w:rPr>
                <w:rFonts w:eastAsiaTheme="minorEastAsia"/>
                <w:lang w:val="en-US"/>
              </w:rPr>
            </w:pPr>
          </w:p>
          <w:p w:rsidR="49E9B153" w:rsidRDefault="34C3A63F" w:rsidP="34C3A63F">
            <w:pPr>
              <w:rPr>
                <w:rFonts w:eastAsiaTheme="minorEastAsia"/>
                <w:lang w:val="en-US"/>
              </w:rPr>
            </w:pPr>
            <w:r w:rsidRPr="34C3A63F">
              <w:rPr>
                <w:rFonts w:eastAsiaTheme="minorEastAsia"/>
                <w:lang w:val="en-US"/>
              </w:rPr>
              <w:t xml:space="preserve">Staff to access </w:t>
            </w:r>
            <w:proofErr w:type="spellStart"/>
            <w:r w:rsidRPr="34C3A63F">
              <w:rPr>
                <w:rFonts w:eastAsiaTheme="minorEastAsia"/>
                <w:lang w:val="en-US"/>
              </w:rPr>
              <w:t>EduCare</w:t>
            </w:r>
            <w:proofErr w:type="spellEnd"/>
            <w:r w:rsidRPr="34C3A63F">
              <w:rPr>
                <w:rFonts w:eastAsiaTheme="minorEastAsia"/>
                <w:lang w:val="en-US"/>
              </w:rPr>
              <w:t xml:space="preserve"> for online training modules.</w:t>
            </w:r>
          </w:p>
        </w:tc>
        <w:tc>
          <w:tcPr>
            <w:tcW w:w="2625" w:type="dxa"/>
          </w:tcPr>
          <w:p w:rsidR="49E9B153" w:rsidRDefault="49E9B153" w:rsidP="49E9B153">
            <w:pPr>
              <w:rPr>
                <w:rFonts w:eastAsiaTheme="minorEastAsia"/>
                <w:lang w:val="en-US"/>
              </w:rPr>
            </w:pPr>
            <w:r w:rsidRPr="49E9B153">
              <w:rPr>
                <w:rFonts w:eastAsiaTheme="minorEastAsia"/>
                <w:lang w:val="en-US"/>
              </w:rPr>
              <w:t>Ongoing due to staff turnover and changes in SEND cohort.</w:t>
            </w:r>
          </w:p>
          <w:p w:rsidR="49E9B153" w:rsidRDefault="49E9B153" w:rsidP="49E9B153">
            <w:pPr>
              <w:rPr>
                <w:rFonts w:eastAsiaTheme="minorEastAsia"/>
                <w:lang w:val="en-US"/>
              </w:rPr>
            </w:pPr>
          </w:p>
        </w:tc>
        <w:tc>
          <w:tcPr>
            <w:tcW w:w="2415" w:type="dxa"/>
          </w:tcPr>
          <w:p w:rsidR="49E9B153" w:rsidRDefault="49E9B153" w:rsidP="49E9B153">
            <w:pPr>
              <w:rPr>
                <w:rFonts w:eastAsiaTheme="minorEastAsia"/>
                <w:lang w:val="en-US"/>
              </w:rPr>
            </w:pPr>
            <w:r w:rsidRPr="49E9B153">
              <w:rPr>
                <w:rFonts w:eastAsiaTheme="minorEastAsia"/>
                <w:lang w:val="en-US"/>
              </w:rPr>
              <w:t>SDW/Heads of School – ongoing.</w:t>
            </w:r>
          </w:p>
          <w:p w:rsidR="49E9B153" w:rsidRDefault="49E9B153" w:rsidP="49E9B153">
            <w:pPr>
              <w:rPr>
                <w:rFonts w:eastAsiaTheme="minorEastAsia"/>
                <w:lang w:val="en-US"/>
              </w:rPr>
            </w:pPr>
          </w:p>
        </w:tc>
        <w:tc>
          <w:tcPr>
            <w:tcW w:w="3669" w:type="dxa"/>
          </w:tcPr>
          <w:p w:rsidR="49E9B153" w:rsidRDefault="49E9B153" w:rsidP="49E9B153">
            <w:pPr>
              <w:rPr>
                <w:rFonts w:eastAsiaTheme="minorEastAsia"/>
                <w:lang w:val="en-US"/>
              </w:rPr>
            </w:pPr>
            <w:r w:rsidRPr="49E9B153">
              <w:rPr>
                <w:rFonts w:eastAsiaTheme="minorEastAsia"/>
                <w:lang w:val="en-US"/>
              </w:rPr>
              <w:t>Clusters of expertise to be developed within the Federation.  The intent is to create a hub of expertise in each school for a particular need (autism, dyslexia, etc.) through lead practitioners, who can then disseminate their expertise across the Federation.</w:t>
            </w: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 xml:space="preserve">For example, following recognition that children with Speech, Language and Communication Needs were under-identified as a cohort, SDW and a lead practitioner attended Devon’s Enhanced Language Programme.  The Federation then bought in to Speech Link in order to help identify and support students with SLCN in a systematic and coherent manner.   Once good practice is established within the lead school during the summer 2019 term, it will be extended to other schools within the Federation in the academic year 2019-2020.  </w:t>
            </w:r>
          </w:p>
        </w:tc>
      </w:tr>
      <w:tr w:rsidR="49E9B153" w:rsidTr="10A45ADC">
        <w:tc>
          <w:tcPr>
            <w:tcW w:w="3080" w:type="dxa"/>
          </w:tcPr>
          <w:p w:rsidR="49E9B153" w:rsidRDefault="49E9B153" w:rsidP="49E9B153">
            <w:pPr>
              <w:rPr>
                <w:rFonts w:eastAsiaTheme="minorEastAsia"/>
                <w:lang w:val="en-US"/>
              </w:rPr>
            </w:pPr>
            <w:r w:rsidRPr="49E9B153">
              <w:rPr>
                <w:rFonts w:eastAsiaTheme="minorEastAsia"/>
                <w:lang w:val="en-US"/>
              </w:rPr>
              <w:t>School staff and Governing body to have a knowledge and understanding of changes to SEN funding and legislation.</w:t>
            </w:r>
          </w:p>
        </w:tc>
        <w:tc>
          <w:tcPr>
            <w:tcW w:w="3080" w:type="dxa"/>
          </w:tcPr>
          <w:p w:rsidR="49E9B153" w:rsidRDefault="49E9B153" w:rsidP="49E9B153">
            <w:pPr>
              <w:rPr>
                <w:rFonts w:eastAsiaTheme="minorEastAsia"/>
                <w:lang w:val="en-US"/>
              </w:rPr>
            </w:pPr>
            <w:r w:rsidRPr="49E9B153">
              <w:rPr>
                <w:rFonts w:eastAsiaTheme="minorEastAsia"/>
                <w:lang w:val="en-US"/>
              </w:rPr>
              <w:t>Twilight training session for staff relating to SEN context.</w:t>
            </w: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10A45ADC" w:rsidRDefault="10A45ADC" w:rsidP="10A45ADC">
            <w:pPr>
              <w:rPr>
                <w:rFonts w:eastAsiaTheme="minorEastAsia"/>
                <w:lang w:val="en-US"/>
              </w:rPr>
            </w:pPr>
          </w:p>
          <w:p w:rsidR="10A45ADC" w:rsidRDefault="10A45ADC" w:rsidP="10A45ADC">
            <w:pPr>
              <w:rPr>
                <w:rFonts w:eastAsiaTheme="minorEastAsia"/>
                <w:lang w:val="en-US"/>
              </w:rPr>
            </w:pPr>
          </w:p>
          <w:p w:rsidR="49E9B153" w:rsidRDefault="49E9B153" w:rsidP="49E9B153">
            <w:pPr>
              <w:rPr>
                <w:rFonts w:eastAsiaTheme="minorEastAsia"/>
                <w:lang w:val="en-US"/>
              </w:rPr>
            </w:pPr>
            <w:proofErr w:type="spellStart"/>
            <w:r w:rsidRPr="49E9B153">
              <w:rPr>
                <w:rFonts w:eastAsiaTheme="minorEastAsia"/>
                <w:lang w:val="en-US"/>
              </w:rPr>
              <w:t>SENCo</w:t>
            </w:r>
            <w:proofErr w:type="spellEnd"/>
            <w:r w:rsidRPr="49E9B153">
              <w:rPr>
                <w:rFonts w:eastAsiaTheme="minorEastAsia"/>
                <w:lang w:val="en-US"/>
              </w:rPr>
              <w:t xml:space="preserve"> to attend Governor’s meetings and meet regularly with SEN Governor.</w:t>
            </w:r>
          </w:p>
        </w:tc>
        <w:tc>
          <w:tcPr>
            <w:tcW w:w="2625" w:type="dxa"/>
          </w:tcPr>
          <w:p w:rsidR="49E9B153" w:rsidRDefault="49E9B153" w:rsidP="49E9B153">
            <w:pPr>
              <w:rPr>
                <w:rFonts w:eastAsiaTheme="minorEastAsia"/>
                <w:lang w:val="en-US"/>
              </w:rPr>
            </w:pPr>
            <w:r w:rsidRPr="49E9B153">
              <w:rPr>
                <w:rFonts w:eastAsiaTheme="minorEastAsia"/>
                <w:lang w:val="en-US"/>
              </w:rPr>
              <w:lastRenderedPageBreak/>
              <w:t>Use of space within Okehampton College/directed time.</w:t>
            </w: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10A45ADC" w:rsidRDefault="10A45ADC" w:rsidP="10A45ADC">
            <w:pPr>
              <w:rPr>
                <w:rFonts w:eastAsiaTheme="minorEastAsia"/>
                <w:lang w:val="en-US"/>
              </w:rPr>
            </w:pPr>
          </w:p>
          <w:p w:rsidR="10A45ADC" w:rsidRDefault="10A45ADC" w:rsidP="10A45ADC">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N/A</w:t>
            </w:r>
          </w:p>
        </w:tc>
        <w:tc>
          <w:tcPr>
            <w:tcW w:w="2415" w:type="dxa"/>
          </w:tcPr>
          <w:p w:rsidR="49E9B153" w:rsidRDefault="49E9B153" w:rsidP="49E9B153">
            <w:pPr>
              <w:rPr>
                <w:rFonts w:eastAsiaTheme="minorEastAsia"/>
                <w:lang w:val="en-US"/>
              </w:rPr>
            </w:pPr>
            <w:r w:rsidRPr="49E9B153">
              <w:rPr>
                <w:rFonts w:eastAsiaTheme="minorEastAsia"/>
                <w:lang w:val="en-US"/>
              </w:rPr>
              <w:lastRenderedPageBreak/>
              <w:t>SDW/PW (Executive Head of Federation Primary Schools).</w:t>
            </w: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10A45ADC" w:rsidRDefault="10A45ADC" w:rsidP="10A45ADC">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SDW/SEN Governor.</w:t>
            </w:r>
          </w:p>
        </w:tc>
        <w:tc>
          <w:tcPr>
            <w:tcW w:w="3669" w:type="dxa"/>
          </w:tcPr>
          <w:p w:rsidR="49E9B153" w:rsidRDefault="49E9B153" w:rsidP="49E9B153">
            <w:pPr>
              <w:rPr>
                <w:rFonts w:eastAsiaTheme="minorEastAsia"/>
                <w:lang w:val="en-US"/>
              </w:rPr>
            </w:pPr>
            <w:r w:rsidRPr="49E9B153">
              <w:rPr>
                <w:rFonts w:eastAsiaTheme="minorEastAsia"/>
                <w:lang w:val="en-US"/>
              </w:rPr>
              <w:lastRenderedPageBreak/>
              <w:t>Scheduled for June 2019.</w:t>
            </w: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49E9B153" w:rsidRDefault="49E9B153" w:rsidP="49E9B153">
            <w:pPr>
              <w:rPr>
                <w:rFonts w:eastAsiaTheme="minorEastAsia"/>
                <w:lang w:val="en-US"/>
              </w:rPr>
            </w:pPr>
          </w:p>
          <w:p w:rsidR="10A45ADC" w:rsidRDefault="10A45ADC" w:rsidP="10A45ADC">
            <w:pPr>
              <w:rPr>
                <w:rFonts w:eastAsiaTheme="minorEastAsia"/>
                <w:lang w:val="en-US"/>
              </w:rPr>
            </w:pPr>
          </w:p>
          <w:p w:rsidR="10A45ADC" w:rsidRDefault="10A45ADC" w:rsidP="10A45ADC">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SDW attends half-termly School Improvement Governors’ meeting.</w:t>
            </w:r>
          </w:p>
          <w:p w:rsidR="49E9B153" w:rsidRDefault="49E9B153" w:rsidP="49E9B153">
            <w:pPr>
              <w:rPr>
                <w:rFonts w:eastAsiaTheme="minorEastAsia"/>
                <w:lang w:val="en-US"/>
              </w:rPr>
            </w:pPr>
          </w:p>
          <w:p w:rsidR="49E9B153" w:rsidRDefault="49E9B153" w:rsidP="49E9B153">
            <w:pPr>
              <w:rPr>
                <w:rFonts w:eastAsiaTheme="minorEastAsia"/>
                <w:lang w:val="en-US"/>
              </w:rPr>
            </w:pPr>
            <w:r w:rsidRPr="49E9B153">
              <w:rPr>
                <w:rFonts w:eastAsiaTheme="minorEastAsia"/>
                <w:lang w:val="en-US"/>
              </w:rPr>
              <w:t>SDW/SEN Governor meet termly to discuss SEND matters within the Federation Primary School.</w:t>
            </w:r>
          </w:p>
        </w:tc>
      </w:tr>
      <w:tr w:rsidR="1F101B97" w:rsidTr="10A45ADC">
        <w:tc>
          <w:tcPr>
            <w:tcW w:w="3080" w:type="dxa"/>
          </w:tcPr>
          <w:p w:rsidR="1F101B97" w:rsidRDefault="1F101B97" w:rsidP="1F101B97">
            <w:pPr>
              <w:rPr>
                <w:rFonts w:eastAsiaTheme="minorEastAsia"/>
                <w:lang w:val="en-US"/>
              </w:rPr>
            </w:pPr>
            <w:r w:rsidRPr="1F101B97">
              <w:rPr>
                <w:rFonts w:eastAsiaTheme="minorEastAsia"/>
                <w:lang w:val="en-US"/>
              </w:rPr>
              <w:lastRenderedPageBreak/>
              <w:t>Ensuring that disabled students have equal access to extra-curricular/school trips.</w:t>
            </w:r>
          </w:p>
        </w:tc>
        <w:tc>
          <w:tcPr>
            <w:tcW w:w="3080" w:type="dxa"/>
          </w:tcPr>
          <w:p w:rsidR="1F101B97" w:rsidRDefault="1F101B97" w:rsidP="1F101B97">
            <w:pPr>
              <w:rPr>
                <w:rFonts w:eastAsiaTheme="minorEastAsia"/>
                <w:lang w:val="en-US"/>
              </w:rPr>
            </w:pPr>
            <w:r w:rsidRPr="1F101B97">
              <w:rPr>
                <w:rFonts w:eastAsiaTheme="minorEastAsia"/>
                <w:lang w:val="en-US"/>
              </w:rPr>
              <w:t xml:space="preserve">Enhanced risk assessments in place for students at risk when planning off-site trips.  </w:t>
            </w:r>
          </w:p>
        </w:tc>
        <w:tc>
          <w:tcPr>
            <w:tcW w:w="2625" w:type="dxa"/>
          </w:tcPr>
          <w:p w:rsidR="1F101B97" w:rsidRDefault="1F101B97" w:rsidP="1F101B97">
            <w:pPr>
              <w:rPr>
                <w:rFonts w:eastAsiaTheme="minorEastAsia"/>
                <w:lang w:val="en-US"/>
              </w:rPr>
            </w:pPr>
            <w:r w:rsidRPr="1F101B97">
              <w:rPr>
                <w:rFonts w:eastAsiaTheme="minorEastAsia"/>
                <w:lang w:val="en-US"/>
              </w:rPr>
              <w:t>N/A</w:t>
            </w:r>
          </w:p>
        </w:tc>
        <w:tc>
          <w:tcPr>
            <w:tcW w:w="2415" w:type="dxa"/>
          </w:tcPr>
          <w:p w:rsidR="1F101B97" w:rsidRDefault="1F101B97" w:rsidP="1F101B97">
            <w:pPr>
              <w:rPr>
                <w:rFonts w:eastAsiaTheme="minorEastAsia"/>
                <w:lang w:val="en-US"/>
              </w:rPr>
            </w:pPr>
            <w:r w:rsidRPr="1F101B97">
              <w:rPr>
                <w:rFonts w:eastAsiaTheme="minorEastAsia"/>
                <w:lang w:val="en-US"/>
              </w:rPr>
              <w:t>Head of School/SDW.</w:t>
            </w:r>
          </w:p>
        </w:tc>
        <w:tc>
          <w:tcPr>
            <w:tcW w:w="3669" w:type="dxa"/>
          </w:tcPr>
          <w:p w:rsidR="1F101B97" w:rsidRDefault="1F101B97" w:rsidP="1F101B97">
            <w:pPr>
              <w:rPr>
                <w:rFonts w:eastAsiaTheme="minorEastAsia"/>
                <w:lang w:val="en-US"/>
              </w:rPr>
            </w:pPr>
            <w:r w:rsidRPr="1F101B97">
              <w:rPr>
                <w:rFonts w:eastAsiaTheme="minorEastAsia"/>
                <w:lang w:val="en-US"/>
              </w:rPr>
              <w:t>Enhanced risk assessments in place for students deemed at risk/a risk.  All students have participated in off-site activities.</w:t>
            </w:r>
          </w:p>
        </w:tc>
      </w:tr>
    </w:tbl>
    <w:p w:rsidR="1F101B97" w:rsidRDefault="1F101B97"/>
    <w:p w:rsidR="49E9B153" w:rsidRDefault="49E9B153">
      <w:r>
        <w:br w:type="page"/>
      </w:r>
    </w:p>
    <w:p w:rsidR="49E9B153" w:rsidRDefault="49E9B153" w:rsidP="49E9B153">
      <w:pPr>
        <w:ind w:left="288"/>
        <w:rPr>
          <w:rFonts w:eastAsiaTheme="minorEastAsia"/>
          <w:b/>
          <w:bCs/>
          <w:lang w:val="en-US"/>
        </w:rPr>
      </w:pPr>
    </w:p>
    <w:tbl>
      <w:tblPr>
        <w:tblStyle w:val="TableGrid"/>
        <w:tblW w:w="15398" w:type="dxa"/>
        <w:tblLayout w:type="fixed"/>
        <w:tblLook w:val="06A0"/>
      </w:tblPr>
      <w:tblGrid>
        <w:gridCol w:w="3465"/>
        <w:gridCol w:w="3300"/>
        <w:gridCol w:w="2474"/>
        <w:gridCol w:w="2400"/>
        <w:gridCol w:w="3759"/>
      </w:tblGrid>
      <w:tr w:rsidR="49E9B153" w:rsidTr="10A45ADC">
        <w:tc>
          <w:tcPr>
            <w:tcW w:w="15398" w:type="dxa"/>
            <w:gridSpan w:val="5"/>
            <w:shd w:val="clear" w:color="auto" w:fill="9CC2E5" w:themeFill="accent1" w:themeFillTint="99"/>
          </w:tcPr>
          <w:p w:rsidR="49E9B153" w:rsidRDefault="49E9B153" w:rsidP="49E9B153">
            <w:pPr>
              <w:pStyle w:val="ListParagraph"/>
              <w:ind w:left="0"/>
              <w:rPr>
                <w:b/>
                <w:bCs/>
                <w:i/>
                <w:iCs/>
              </w:rPr>
            </w:pPr>
            <w:r w:rsidRPr="49E9B153">
              <w:rPr>
                <w:b/>
                <w:bCs/>
              </w:rPr>
              <w:t>STRAND B: Improving the Physical Environment of the Schools</w:t>
            </w:r>
          </w:p>
        </w:tc>
      </w:tr>
      <w:tr w:rsidR="49E9B153" w:rsidTr="10A45ADC">
        <w:tc>
          <w:tcPr>
            <w:tcW w:w="3465" w:type="dxa"/>
            <w:shd w:val="clear" w:color="auto" w:fill="9CC2E5" w:themeFill="accent1" w:themeFillTint="99"/>
          </w:tcPr>
          <w:p w:rsidR="49E9B153" w:rsidRDefault="49E9B153" w:rsidP="49E9B153">
            <w:pPr>
              <w:pStyle w:val="ListParagraph"/>
              <w:ind w:left="0"/>
              <w:rPr>
                <w:b/>
                <w:bCs/>
              </w:rPr>
            </w:pPr>
            <w:r w:rsidRPr="49E9B153">
              <w:rPr>
                <w:b/>
                <w:bCs/>
              </w:rPr>
              <w:t xml:space="preserve">Target </w:t>
            </w:r>
          </w:p>
        </w:tc>
        <w:tc>
          <w:tcPr>
            <w:tcW w:w="3300" w:type="dxa"/>
            <w:shd w:val="clear" w:color="auto" w:fill="9CC2E5" w:themeFill="accent1" w:themeFillTint="99"/>
          </w:tcPr>
          <w:p w:rsidR="49E9B153" w:rsidRDefault="49E9B153" w:rsidP="49E9B153">
            <w:pPr>
              <w:pStyle w:val="ListParagraph"/>
              <w:ind w:left="0"/>
              <w:rPr>
                <w:b/>
                <w:bCs/>
              </w:rPr>
            </w:pPr>
            <w:r w:rsidRPr="49E9B153">
              <w:rPr>
                <w:b/>
                <w:bCs/>
              </w:rPr>
              <w:t>Actions</w:t>
            </w:r>
          </w:p>
        </w:tc>
        <w:tc>
          <w:tcPr>
            <w:tcW w:w="2474" w:type="dxa"/>
            <w:shd w:val="clear" w:color="auto" w:fill="9CC2E5" w:themeFill="accent1" w:themeFillTint="99"/>
          </w:tcPr>
          <w:p w:rsidR="49E9B153" w:rsidRDefault="49E9B153" w:rsidP="49E9B153">
            <w:pPr>
              <w:pStyle w:val="ListParagraph"/>
              <w:ind w:left="0"/>
              <w:rPr>
                <w:b/>
                <w:bCs/>
              </w:rPr>
            </w:pPr>
            <w:r w:rsidRPr="49E9B153">
              <w:rPr>
                <w:b/>
                <w:bCs/>
              </w:rPr>
              <w:t>Resources/cost</w:t>
            </w:r>
          </w:p>
        </w:tc>
        <w:tc>
          <w:tcPr>
            <w:tcW w:w="2400" w:type="dxa"/>
            <w:shd w:val="clear" w:color="auto" w:fill="9CC2E5" w:themeFill="accent1" w:themeFillTint="99"/>
          </w:tcPr>
          <w:p w:rsidR="49E9B153" w:rsidRDefault="49E9B153" w:rsidP="49E9B153">
            <w:pPr>
              <w:pStyle w:val="ListParagraph"/>
              <w:ind w:left="0"/>
              <w:rPr>
                <w:b/>
                <w:bCs/>
              </w:rPr>
            </w:pPr>
            <w:r w:rsidRPr="49E9B153">
              <w:rPr>
                <w:b/>
                <w:bCs/>
              </w:rPr>
              <w:t>Person(s) responsible/timeframe</w:t>
            </w:r>
          </w:p>
        </w:tc>
        <w:tc>
          <w:tcPr>
            <w:tcW w:w="3759" w:type="dxa"/>
            <w:shd w:val="clear" w:color="auto" w:fill="9CC2E5" w:themeFill="accent1" w:themeFillTint="99"/>
          </w:tcPr>
          <w:p w:rsidR="49E9B153" w:rsidRDefault="49E9B153" w:rsidP="49E9B153">
            <w:pPr>
              <w:pStyle w:val="ListParagraph"/>
              <w:ind w:left="0"/>
              <w:rPr>
                <w:b/>
                <w:bCs/>
              </w:rPr>
            </w:pPr>
            <w:r w:rsidRPr="49E9B153">
              <w:rPr>
                <w:b/>
                <w:bCs/>
              </w:rPr>
              <w:t>Outcome</w:t>
            </w:r>
          </w:p>
        </w:tc>
      </w:tr>
      <w:tr w:rsidR="49E9B153" w:rsidTr="10A45ADC">
        <w:tc>
          <w:tcPr>
            <w:tcW w:w="3465" w:type="dxa"/>
          </w:tcPr>
          <w:p w:rsidR="49E9B153" w:rsidRDefault="1F101B97" w:rsidP="49E9B153">
            <w:pPr>
              <w:pStyle w:val="ListParagraph"/>
              <w:ind w:left="0"/>
            </w:pPr>
            <w:r>
              <w:t>To ensure that accessibility has been thoroughly considered across the Federation sites.</w:t>
            </w:r>
          </w:p>
        </w:tc>
        <w:tc>
          <w:tcPr>
            <w:tcW w:w="3300" w:type="dxa"/>
          </w:tcPr>
          <w:p w:rsidR="49E9B153" w:rsidRDefault="1F101B97" w:rsidP="1F101B97">
            <w:pPr>
              <w:pStyle w:val="ListParagraph"/>
              <w:ind w:left="0"/>
            </w:pPr>
            <w:r>
              <w:t>Review each site within the Federation using Devon’s Accessibility Tool for Educational Settings.</w:t>
            </w:r>
          </w:p>
          <w:p w:rsidR="49E9B153" w:rsidRDefault="49E9B153" w:rsidP="1F101B97">
            <w:pPr>
              <w:pStyle w:val="ListParagraph"/>
              <w:rPr>
                <w:b/>
                <w:bCs/>
              </w:rPr>
            </w:pPr>
          </w:p>
        </w:tc>
        <w:tc>
          <w:tcPr>
            <w:tcW w:w="2474" w:type="dxa"/>
          </w:tcPr>
          <w:p w:rsidR="49E9B153" w:rsidRDefault="1F101B97" w:rsidP="1F101B97">
            <w:pPr>
              <w:pStyle w:val="ListParagraph"/>
              <w:ind w:left="0"/>
            </w:pPr>
            <w:r>
              <w:t>N/A</w:t>
            </w:r>
          </w:p>
        </w:tc>
        <w:tc>
          <w:tcPr>
            <w:tcW w:w="2400" w:type="dxa"/>
          </w:tcPr>
          <w:p w:rsidR="49E9B153" w:rsidRDefault="1F101B97" w:rsidP="1F101B97">
            <w:pPr>
              <w:pStyle w:val="ListParagraph"/>
              <w:ind w:left="0"/>
              <w:jc w:val="both"/>
            </w:pPr>
            <w:r>
              <w:t>JW/SDW</w:t>
            </w:r>
          </w:p>
        </w:tc>
        <w:tc>
          <w:tcPr>
            <w:tcW w:w="3759" w:type="dxa"/>
          </w:tcPr>
          <w:p w:rsidR="49E9B153" w:rsidRDefault="1F101B97" w:rsidP="1F101B97">
            <w:pPr>
              <w:pStyle w:val="ListParagraph"/>
              <w:ind w:left="0"/>
            </w:pPr>
            <w:r>
              <w:t>JW/SDW to complete audit of school settings on 24.06.19.  Findings will feed into Accessibility Plan review due in September 2019 academic year.</w:t>
            </w:r>
          </w:p>
        </w:tc>
      </w:tr>
      <w:tr w:rsidR="49E9B153" w:rsidTr="10A45ADC">
        <w:tc>
          <w:tcPr>
            <w:tcW w:w="3465" w:type="dxa"/>
          </w:tcPr>
          <w:p w:rsidR="49E9B153" w:rsidRDefault="1AB485E0" w:rsidP="49E9B153">
            <w:pPr>
              <w:pStyle w:val="ListParagraph"/>
              <w:ind w:left="0"/>
            </w:pPr>
            <w:r>
              <w:t>To ensure that students with medical needs are well supported within the Federation.</w:t>
            </w:r>
          </w:p>
        </w:tc>
        <w:tc>
          <w:tcPr>
            <w:tcW w:w="3300" w:type="dxa"/>
          </w:tcPr>
          <w:p w:rsidR="49E9B153" w:rsidRDefault="1AB485E0" w:rsidP="1AB485E0">
            <w:pPr>
              <w:spacing w:after="200" w:afterAutospacing="1"/>
              <w:ind w:left="108" w:right="93"/>
              <w:rPr>
                <w:rFonts w:ascii="Calibri" w:eastAsia="Calibri" w:hAnsi="Calibri" w:cs="Calibri"/>
              </w:rPr>
            </w:pPr>
            <w:r w:rsidRPr="1AB485E0">
              <w:rPr>
                <w:rFonts w:ascii="Calibri" w:eastAsia="Calibri" w:hAnsi="Calibri" w:cs="Calibri"/>
                <w:lang w:val="en-US"/>
              </w:rPr>
              <w:t>Supporting Children with Medical Needs Policy reviewed annually.</w:t>
            </w:r>
          </w:p>
          <w:p w:rsidR="49E9B153" w:rsidRDefault="49E9B153" w:rsidP="1AB485E0">
            <w:pPr>
              <w:spacing w:after="200" w:afterAutospacing="1"/>
              <w:ind w:left="108" w:right="93"/>
              <w:rPr>
                <w:rFonts w:ascii="Calibri" w:eastAsia="Calibri" w:hAnsi="Calibri" w:cs="Calibri"/>
                <w:lang w:val="en-US"/>
              </w:rPr>
            </w:pPr>
          </w:p>
          <w:p w:rsidR="49E9B153" w:rsidRDefault="49E9B153" w:rsidP="1AB485E0">
            <w:pPr>
              <w:spacing w:after="200" w:afterAutospacing="1"/>
              <w:ind w:left="108" w:right="213"/>
              <w:rPr>
                <w:rFonts w:ascii="Calibri" w:eastAsia="Calibri" w:hAnsi="Calibri" w:cs="Calibri"/>
                <w:lang w:val="en-US"/>
              </w:rPr>
            </w:pPr>
          </w:p>
          <w:p w:rsidR="49E9B153" w:rsidRDefault="49E9B153" w:rsidP="1AB485E0">
            <w:pPr>
              <w:spacing w:after="200" w:afterAutospacing="1"/>
              <w:ind w:left="108" w:right="213"/>
              <w:rPr>
                <w:rFonts w:ascii="Calibri" w:eastAsia="Calibri" w:hAnsi="Calibri" w:cs="Calibri"/>
                <w:lang w:val="en-US"/>
              </w:rPr>
            </w:pPr>
          </w:p>
          <w:p w:rsidR="49E9B153" w:rsidRDefault="1AB485E0" w:rsidP="1AB485E0">
            <w:pPr>
              <w:spacing w:after="200" w:afterAutospacing="1"/>
              <w:ind w:left="108" w:right="213"/>
              <w:rPr>
                <w:rFonts w:ascii="Calibri" w:eastAsia="Calibri" w:hAnsi="Calibri" w:cs="Calibri"/>
                <w:lang w:val="en-US"/>
              </w:rPr>
            </w:pPr>
            <w:r w:rsidRPr="1AB485E0">
              <w:rPr>
                <w:rFonts w:ascii="Calibri" w:eastAsia="Calibri" w:hAnsi="Calibri" w:cs="Calibri"/>
                <w:lang w:val="en-US"/>
              </w:rPr>
              <w:t>Liaise with the school nurse to ensure that Health Care Plans for children with medical needs are written and reviewed annually as required.</w:t>
            </w:r>
          </w:p>
          <w:p w:rsidR="49E9B153" w:rsidRDefault="49E9B153" w:rsidP="1AB485E0">
            <w:pPr>
              <w:spacing w:after="200" w:afterAutospacing="1"/>
              <w:ind w:left="108" w:right="213"/>
              <w:rPr>
                <w:rFonts w:ascii="Calibri" w:eastAsia="Calibri" w:hAnsi="Calibri" w:cs="Calibri"/>
                <w:lang w:val="en-US"/>
              </w:rPr>
            </w:pPr>
          </w:p>
          <w:p w:rsidR="49E9B153" w:rsidRDefault="1AB485E0" w:rsidP="1AB485E0">
            <w:pPr>
              <w:spacing w:after="200" w:afterAutospacing="1"/>
              <w:ind w:left="108" w:right="334"/>
              <w:rPr>
                <w:rFonts w:ascii="Calibri" w:eastAsia="Calibri" w:hAnsi="Calibri" w:cs="Calibri"/>
              </w:rPr>
            </w:pPr>
            <w:r w:rsidRPr="1AB485E0">
              <w:rPr>
                <w:rFonts w:ascii="Calibri" w:eastAsia="Calibri" w:hAnsi="Calibri" w:cs="Calibri"/>
                <w:lang w:val="en-US"/>
              </w:rPr>
              <w:t xml:space="preserve">Staff training available for adults working with children with medical needs, i.e. allergies (using </w:t>
            </w:r>
            <w:proofErr w:type="spellStart"/>
            <w:r w:rsidRPr="1AB485E0">
              <w:rPr>
                <w:rFonts w:ascii="Calibri" w:eastAsia="Calibri" w:hAnsi="Calibri" w:cs="Calibri"/>
                <w:lang w:val="en-US"/>
              </w:rPr>
              <w:t>epi</w:t>
            </w:r>
            <w:proofErr w:type="spellEnd"/>
            <w:r w:rsidRPr="1AB485E0">
              <w:rPr>
                <w:rFonts w:ascii="Calibri" w:eastAsia="Calibri" w:hAnsi="Calibri" w:cs="Calibri"/>
                <w:lang w:val="en-US"/>
              </w:rPr>
              <w:t xml:space="preserve"> pens); epilepsy, etc.</w:t>
            </w:r>
          </w:p>
          <w:p w:rsidR="49E9B153" w:rsidRDefault="49E9B153" w:rsidP="1AB485E0">
            <w:pPr>
              <w:spacing w:after="200" w:afterAutospacing="1"/>
              <w:ind w:left="108" w:right="334"/>
              <w:rPr>
                <w:rFonts w:ascii="Calibri" w:eastAsia="Calibri" w:hAnsi="Calibri" w:cs="Calibri"/>
                <w:lang w:val="en-US"/>
              </w:rPr>
            </w:pPr>
          </w:p>
          <w:p w:rsidR="49E9B153" w:rsidRDefault="1AB485E0" w:rsidP="1AB485E0">
            <w:pPr>
              <w:spacing w:after="200" w:afterAutospacing="1"/>
              <w:ind w:left="108" w:right="93"/>
              <w:rPr>
                <w:rFonts w:ascii="Calibri" w:eastAsia="Calibri" w:hAnsi="Calibri" w:cs="Calibri"/>
              </w:rPr>
            </w:pPr>
            <w:r w:rsidRPr="1AB485E0">
              <w:rPr>
                <w:rFonts w:ascii="Calibri" w:eastAsia="Calibri" w:hAnsi="Calibri" w:cs="Calibri"/>
                <w:lang w:val="en-US"/>
              </w:rPr>
              <w:t>First aid training</w:t>
            </w:r>
          </w:p>
          <w:p w:rsidR="49E9B153" w:rsidRDefault="49E9B153" w:rsidP="1AB485E0">
            <w:pPr>
              <w:spacing w:after="200" w:afterAutospacing="1"/>
              <w:ind w:left="108" w:right="93"/>
              <w:rPr>
                <w:rFonts w:ascii="Calibri" w:eastAsia="Calibri" w:hAnsi="Calibri" w:cs="Calibri"/>
                <w:lang w:val="en-US"/>
              </w:rPr>
            </w:pPr>
          </w:p>
          <w:p w:rsidR="49E9B153" w:rsidRDefault="1AB485E0" w:rsidP="1AB485E0">
            <w:pPr>
              <w:spacing w:after="200" w:afterAutospacing="1"/>
              <w:ind w:left="108" w:right="147"/>
              <w:rPr>
                <w:rFonts w:ascii="Calibri" w:eastAsia="Calibri" w:hAnsi="Calibri" w:cs="Calibri"/>
                <w:lang w:val="en-US"/>
              </w:rPr>
            </w:pPr>
            <w:r w:rsidRPr="1AB485E0">
              <w:rPr>
                <w:rFonts w:ascii="Calibri" w:eastAsia="Calibri" w:hAnsi="Calibri" w:cs="Calibri"/>
                <w:lang w:val="en-US"/>
              </w:rPr>
              <w:t>Clear signposting within school regarding students with allergies and how to support them.</w:t>
            </w:r>
          </w:p>
          <w:p w:rsidR="49E9B153" w:rsidRDefault="49E9B153" w:rsidP="1AB485E0">
            <w:pPr>
              <w:spacing w:after="200" w:afterAutospacing="1"/>
              <w:ind w:left="108" w:right="147"/>
              <w:rPr>
                <w:rFonts w:ascii="Calibri" w:eastAsia="Calibri" w:hAnsi="Calibri" w:cs="Calibri"/>
                <w:lang w:val="en-US"/>
              </w:rPr>
            </w:pPr>
          </w:p>
          <w:p w:rsidR="49E9B153" w:rsidRDefault="1AB485E0" w:rsidP="1AB485E0">
            <w:pPr>
              <w:spacing w:after="200" w:afterAutospacing="1"/>
              <w:ind w:left="108" w:right="213"/>
              <w:rPr>
                <w:rFonts w:ascii="Calibri" w:eastAsia="Calibri" w:hAnsi="Calibri" w:cs="Calibri"/>
              </w:rPr>
            </w:pPr>
            <w:r w:rsidRPr="1AB485E0">
              <w:rPr>
                <w:rFonts w:ascii="Calibri" w:eastAsia="Calibri" w:hAnsi="Calibri" w:cs="Calibri"/>
                <w:lang w:val="en-US"/>
              </w:rPr>
              <w:t>Medication to be sent home at the end of every school term (to be checked by parents if it is still up to date).</w:t>
            </w:r>
          </w:p>
          <w:p w:rsidR="49E9B153" w:rsidRDefault="49E9B153" w:rsidP="1AB485E0">
            <w:pPr>
              <w:pStyle w:val="ListParagraph"/>
              <w:ind w:left="0"/>
              <w:rPr>
                <w:b/>
                <w:bCs/>
              </w:rPr>
            </w:pPr>
          </w:p>
        </w:tc>
        <w:tc>
          <w:tcPr>
            <w:tcW w:w="2474" w:type="dxa"/>
          </w:tcPr>
          <w:p w:rsidR="49E9B153" w:rsidRDefault="1AB485E0" w:rsidP="49E9B153">
            <w:pPr>
              <w:pStyle w:val="ListParagraph"/>
              <w:ind w:left="0"/>
            </w:pPr>
            <w:r>
              <w:lastRenderedPageBreak/>
              <w:t>N/A</w:t>
            </w: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1AB485E0" w:rsidP="49E9B153">
            <w:pPr>
              <w:pStyle w:val="ListParagraph"/>
              <w:ind w:left="0"/>
            </w:pPr>
            <w:r>
              <w:t>N/A</w:t>
            </w: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1AB485E0" w:rsidP="49E9B153">
            <w:pPr>
              <w:pStyle w:val="ListParagraph"/>
              <w:ind w:left="0"/>
            </w:pPr>
            <w:r>
              <w:t>Directed time</w:t>
            </w: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10A45ADC" w:rsidP="1AB485E0">
            <w:pPr>
              <w:pStyle w:val="ListParagraph"/>
              <w:ind w:left="0"/>
            </w:pPr>
            <w:r>
              <w:t>N/A</w:t>
            </w:r>
          </w:p>
          <w:p w:rsidR="49E9B153" w:rsidRDefault="49E9B153" w:rsidP="1AB485E0">
            <w:pPr>
              <w:pStyle w:val="ListParagraph"/>
              <w:ind w:left="0"/>
              <w:rPr>
                <w:highlight w:val="yellow"/>
              </w:rPr>
            </w:pPr>
          </w:p>
          <w:p w:rsidR="49E9B153" w:rsidRDefault="1AB485E0" w:rsidP="49E9B153">
            <w:pPr>
              <w:pStyle w:val="ListParagraph"/>
              <w:ind w:left="0"/>
            </w:pPr>
            <w:r>
              <w:t>N/A</w:t>
            </w:r>
          </w:p>
        </w:tc>
        <w:tc>
          <w:tcPr>
            <w:tcW w:w="2400" w:type="dxa"/>
          </w:tcPr>
          <w:p w:rsidR="49E9B153" w:rsidRDefault="1AB485E0" w:rsidP="49E9B153">
            <w:pPr>
              <w:pStyle w:val="ListParagraph"/>
              <w:ind w:left="0"/>
            </w:pPr>
            <w:r>
              <w:t>SDW/Heads of School/Executive Head/Governors - ongoing.</w:t>
            </w:r>
          </w:p>
          <w:p w:rsidR="49E9B153" w:rsidRDefault="49E9B153" w:rsidP="49E9B153">
            <w:pPr>
              <w:pStyle w:val="ListParagraph"/>
              <w:ind w:left="0"/>
            </w:pPr>
          </w:p>
          <w:p w:rsidR="49E9B153" w:rsidRDefault="49E9B153" w:rsidP="49E9B153">
            <w:pPr>
              <w:pStyle w:val="ListParagraph"/>
              <w:ind w:left="0"/>
            </w:pPr>
          </w:p>
          <w:p w:rsidR="49E9B153" w:rsidRDefault="1AB485E0" w:rsidP="49E9B153">
            <w:pPr>
              <w:pStyle w:val="ListParagraph"/>
              <w:ind w:left="0"/>
            </w:pPr>
            <w:r>
              <w:t>SDW/Heads of School/School Nurse – ongoing.</w:t>
            </w:r>
          </w:p>
          <w:p w:rsidR="49E9B153" w:rsidRDefault="49E9B153" w:rsidP="49E9B153">
            <w:pPr>
              <w:pStyle w:val="ListParagraph"/>
              <w:ind w:left="0"/>
            </w:pPr>
          </w:p>
          <w:p w:rsidR="49E9B153" w:rsidRDefault="49E9B153" w:rsidP="49E9B153">
            <w:pPr>
              <w:pStyle w:val="ListParagraph"/>
              <w:ind w:left="0"/>
            </w:pPr>
          </w:p>
          <w:p w:rsidR="49E9B153" w:rsidRDefault="1AB485E0" w:rsidP="49E9B153">
            <w:pPr>
              <w:pStyle w:val="ListParagraph"/>
              <w:ind w:left="0"/>
            </w:pPr>
            <w:r>
              <w:t>School Nurse/SDW</w:t>
            </w: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1AB485E0" w:rsidP="49E9B153">
            <w:pPr>
              <w:pStyle w:val="ListParagraph"/>
              <w:ind w:left="0"/>
            </w:pPr>
            <w:r>
              <w:t>Heads of School</w:t>
            </w:r>
          </w:p>
          <w:p w:rsidR="49E9B153" w:rsidRDefault="49E9B153" w:rsidP="49E9B153">
            <w:pPr>
              <w:pStyle w:val="ListParagraph"/>
              <w:ind w:left="0"/>
            </w:pPr>
          </w:p>
          <w:p w:rsidR="49E9B153" w:rsidRDefault="1AB485E0" w:rsidP="49E9B153">
            <w:pPr>
              <w:pStyle w:val="ListParagraph"/>
              <w:ind w:left="0"/>
            </w:pPr>
            <w:r>
              <w:t>Heads of School</w:t>
            </w:r>
          </w:p>
        </w:tc>
        <w:tc>
          <w:tcPr>
            <w:tcW w:w="3759" w:type="dxa"/>
          </w:tcPr>
          <w:p w:rsidR="49E9B153" w:rsidRDefault="1AB485E0" w:rsidP="49E9B153">
            <w:pPr>
              <w:pStyle w:val="ListParagraph"/>
              <w:ind w:left="0"/>
            </w:pPr>
            <w:r>
              <w:t>Due for review September 2019.</w:t>
            </w: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1AB485E0" w:rsidP="49E9B153">
            <w:pPr>
              <w:pStyle w:val="ListParagraph"/>
              <w:ind w:left="0"/>
            </w:pPr>
            <w:r>
              <w:t>Health Care Plans currently under review – ongoing.</w:t>
            </w:r>
          </w:p>
          <w:p w:rsidR="49E9B153" w:rsidRDefault="49E9B153" w:rsidP="49E9B153">
            <w:pPr>
              <w:pStyle w:val="ListParagraph"/>
              <w:ind w:left="0"/>
            </w:pPr>
          </w:p>
          <w:p w:rsidR="49E9B153" w:rsidRDefault="49E9B153" w:rsidP="49E9B153">
            <w:pPr>
              <w:pStyle w:val="ListParagraph"/>
              <w:ind w:left="0"/>
            </w:pPr>
          </w:p>
          <w:p w:rsidR="49E9B153" w:rsidRDefault="49E9B153" w:rsidP="49E9B153">
            <w:pPr>
              <w:pStyle w:val="ListParagraph"/>
              <w:ind w:left="0"/>
            </w:pPr>
          </w:p>
          <w:p w:rsidR="49E9B153" w:rsidRDefault="10A45ADC" w:rsidP="49E9B153">
            <w:pPr>
              <w:pStyle w:val="ListParagraph"/>
              <w:ind w:left="0"/>
            </w:pPr>
            <w:r>
              <w:t xml:space="preserve">School Nurse </w:t>
            </w:r>
            <w:proofErr w:type="gramStart"/>
            <w:r>
              <w:t>signposted</w:t>
            </w:r>
            <w:proofErr w:type="gramEnd"/>
            <w:r>
              <w:t xml:space="preserve"> staff to online training for </w:t>
            </w:r>
            <w:proofErr w:type="spellStart"/>
            <w:r>
              <w:t>EpiPens</w:t>
            </w:r>
            <w:proofErr w:type="spellEnd"/>
            <w:r>
              <w:t>/allergies/asthma.  SDW disseminated links to Heads of School.</w:t>
            </w:r>
          </w:p>
          <w:p w:rsidR="49E9B153" w:rsidRDefault="49E9B153" w:rsidP="49E9B153">
            <w:pPr>
              <w:pStyle w:val="ListParagraph"/>
              <w:ind w:left="0"/>
            </w:pPr>
          </w:p>
          <w:p w:rsidR="49E9B153" w:rsidRDefault="49E9B153" w:rsidP="49E9B153">
            <w:pPr>
              <w:pStyle w:val="ListParagraph"/>
              <w:ind w:left="0"/>
            </w:pPr>
          </w:p>
          <w:p w:rsidR="49E9B153" w:rsidRDefault="1AB485E0" w:rsidP="49E9B153">
            <w:pPr>
              <w:pStyle w:val="ListParagraph"/>
              <w:ind w:left="0"/>
            </w:pPr>
            <w:r>
              <w:t>Trained first aid staff in each school.</w:t>
            </w:r>
          </w:p>
          <w:p w:rsidR="49E9B153" w:rsidRDefault="49E9B153" w:rsidP="49E9B153">
            <w:pPr>
              <w:pStyle w:val="ListParagraph"/>
              <w:ind w:left="0"/>
            </w:pPr>
          </w:p>
          <w:p w:rsidR="49E9B153" w:rsidRDefault="1AB485E0" w:rsidP="49E9B153">
            <w:pPr>
              <w:pStyle w:val="ListParagraph"/>
              <w:ind w:left="0"/>
            </w:pPr>
            <w:proofErr w:type="gramStart"/>
            <w:r>
              <w:t>Staff are</w:t>
            </w:r>
            <w:proofErr w:type="gramEnd"/>
            <w:r>
              <w:t xml:space="preserve"> aware of student allergies including cover staff.</w:t>
            </w:r>
          </w:p>
        </w:tc>
      </w:tr>
      <w:tr w:rsidR="49E9B153" w:rsidTr="10A45ADC">
        <w:tc>
          <w:tcPr>
            <w:tcW w:w="3465" w:type="dxa"/>
          </w:tcPr>
          <w:p w:rsidR="49E9B153" w:rsidRDefault="1F101B97" w:rsidP="49E9B153">
            <w:pPr>
              <w:pStyle w:val="ListParagraph"/>
              <w:ind w:left="0"/>
            </w:pPr>
            <w:r>
              <w:lastRenderedPageBreak/>
              <w:t>Ensure the safety of disabled pupils in emergency situations.</w:t>
            </w:r>
          </w:p>
        </w:tc>
        <w:tc>
          <w:tcPr>
            <w:tcW w:w="3300" w:type="dxa"/>
          </w:tcPr>
          <w:p w:rsidR="49E9B153" w:rsidRDefault="1F101B97" w:rsidP="1AB485E0">
            <w:pPr>
              <w:pStyle w:val="ListParagraph"/>
              <w:ind w:left="0"/>
            </w:pPr>
            <w:r>
              <w:t xml:space="preserve">Review procedures for ensuring the safety of disabled students during emergency evacuations in the case of fire or emergency lockdowns. To be documented in Personal Emergency Evacuation Plans (PEEPs) following the Fire Evacuation Plan for the site. </w:t>
            </w:r>
          </w:p>
          <w:p w:rsidR="49E9B153" w:rsidRDefault="49E9B153" w:rsidP="1AB485E0">
            <w:pPr>
              <w:pStyle w:val="ListParagraph"/>
              <w:ind w:left="0"/>
            </w:pPr>
          </w:p>
          <w:p w:rsidR="49E9B153" w:rsidRDefault="1F101B97" w:rsidP="1AB485E0">
            <w:pPr>
              <w:pStyle w:val="ListParagraph"/>
              <w:ind w:left="0"/>
            </w:pPr>
            <w:r>
              <w:t>PEEPs should be reviewed annually or when there is a new intake (lateral transfer) and stored on SIMs and in file in reception.</w:t>
            </w:r>
          </w:p>
        </w:tc>
        <w:tc>
          <w:tcPr>
            <w:tcW w:w="2474" w:type="dxa"/>
          </w:tcPr>
          <w:p w:rsidR="49E9B153" w:rsidRDefault="1AB485E0" w:rsidP="49E9B153">
            <w:pPr>
              <w:pStyle w:val="ListParagraph"/>
              <w:ind w:left="0"/>
            </w:pPr>
            <w:r>
              <w:t>N/A</w:t>
            </w:r>
          </w:p>
        </w:tc>
        <w:tc>
          <w:tcPr>
            <w:tcW w:w="2400" w:type="dxa"/>
          </w:tcPr>
          <w:p w:rsidR="49E9B153" w:rsidRDefault="1AB485E0" w:rsidP="1AB485E0">
            <w:pPr>
              <w:pStyle w:val="ListParagraph"/>
              <w:spacing w:line="259" w:lineRule="auto"/>
              <w:ind w:left="0"/>
            </w:pPr>
            <w:r>
              <w:t>JW/Heads of School</w:t>
            </w:r>
          </w:p>
        </w:tc>
        <w:tc>
          <w:tcPr>
            <w:tcW w:w="3759" w:type="dxa"/>
          </w:tcPr>
          <w:p w:rsidR="49E9B153" w:rsidRDefault="1F101B97" w:rsidP="49E9B153">
            <w:pPr>
              <w:pStyle w:val="ListParagraph"/>
              <w:ind w:left="0"/>
            </w:pPr>
            <w:r>
              <w:t>PEEPs are in place for disabled students.  Due to be reviewed in September 2019.</w:t>
            </w:r>
          </w:p>
        </w:tc>
      </w:tr>
    </w:tbl>
    <w:p w:rsidR="1AB485E0" w:rsidRDefault="1AB485E0"/>
    <w:p w:rsidR="1F101B97" w:rsidRDefault="1F101B97">
      <w:r>
        <w:br w:type="page"/>
      </w:r>
    </w:p>
    <w:tbl>
      <w:tblPr>
        <w:tblStyle w:val="TableGrid"/>
        <w:tblW w:w="0" w:type="auto"/>
        <w:tblLayout w:type="fixed"/>
        <w:tblLook w:val="06A0"/>
      </w:tblPr>
      <w:tblGrid>
        <w:gridCol w:w="3510"/>
        <w:gridCol w:w="3285"/>
        <w:gridCol w:w="2444"/>
        <w:gridCol w:w="2460"/>
        <w:gridCol w:w="3699"/>
      </w:tblGrid>
      <w:tr w:rsidR="1F101B97" w:rsidTr="1F101B97">
        <w:tc>
          <w:tcPr>
            <w:tcW w:w="15398" w:type="dxa"/>
            <w:gridSpan w:val="5"/>
            <w:shd w:val="clear" w:color="auto" w:fill="9CC2E5" w:themeFill="accent1" w:themeFillTint="99"/>
          </w:tcPr>
          <w:p w:rsidR="1F101B97" w:rsidRDefault="1F101B97" w:rsidP="1F101B97">
            <w:pPr>
              <w:pStyle w:val="ListParagraph"/>
              <w:ind w:left="0"/>
              <w:rPr>
                <w:b/>
                <w:bCs/>
              </w:rPr>
            </w:pPr>
            <w:r w:rsidRPr="1F101B97">
              <w:rPr>
                <w:b/>
                <w:bCs/>
              </w:rPr>
              <w:lastRenderedPageBreak/>
              <w:t>STRAND C:  Improving the Delivery of Information to Disabled Pupils</w:t>
            </w:r>
          </w:p>
        </w:tc>
      </w:tr>
      <w:tr w:rsidR="1F101B97" w:rsidTr="1F101B97">
        <w:tc>
          <w:tcPr>
            <w:tcW w:w="3510" w:type="dxa"/>
            <w:shd w:val="clear" w:color="auto" w:fill="9CC2E5" w:themeFill="accent1" w:themeFillTint="99"/>
          </w:tcPr>
          <w:p w:rsidR="1F101B97" w:rsidRDefault="1F101B97" w:rsidP="1F101B97">
            <w:pPr>
              <w:pStyle w:val="ListParagraph"/>
              <w:ind w:left="0"/>
              <w:rPr>
                <w:b/>
                <w:bCs/>
              </w:rPr>
            </w:pPr>
            <w:r w:rsidRPr="1F101B97">
              <w:rPr>
                <w:b/>
                <w:bCs/>
              </w:rPr>
              <w:t xml:space="preserve">Target </w:t>
            </w:r>
          </w:p>
        </w:tc>
        <w:tc>
          <w:tcPr>
            <w:tcW w:w="3285" w:type="dxa"/>
            <w:shd w:val="clear" w:color="auto" w:fill="9CC2E5" w:themeFill="accent1" w:themeFillTint="99"/>
          </w:tcPr>
          <w:p w:rsidR="1F101B97" w:rsidRDefault="1F101B97" w:rsidP="1F101B97">
            <w:pPr>
              <w:pStyle w:val="ListParagraph"/>
              <w:ind w:left="0"/>
              <w:rPr>
                <w:b/>
                <w:bCs/>
              </w:rPr>
            </w:pPr>
            <w:r w:rsidRPr="1F101B97">
              <w:rPr>
                <w:b/>
                <w:bCs/>
              </w:rPr>
              <w:t>Actions</w:t>
            </w:r>
          </w:p>
        </w:tc>
        <w:tc>
          <w:tcPr>
            <w:tcW w:w="2444" w:type="dxa"/>
            <w:shd w:val="clear" w:color="auto" w:fill="9CC2E5" w:themeFill="accent1" w:themeFillTint="99"/>
          </w:tcPr>
          <w:p w:rsidR="1F101B97" w:rsidRDefault="1F101B97" w:rsidP="1F101B97">
            <w:pPr>
              <w:pStyle w:val="ListParagraph"/>
              <w:ind w:left="0"/>
              <w:rPr>
                <w:b/>
                <w:bCs/>
              </w:rPr>
            </w:pPr>
            <w:r w:rsidRPr="1F101B97">
              <w:rPr>
                <w:b/>
                <w:bCs/>
              </w:rPr>
              <w:t>Resources/cost</w:t>
            </w:r>
          </w:p>
        </w:tc>
        <w:tc>
          <w:tcPr>
            <w:tcW w:w="2460" w:type="dxa"/>
            <w:shd w:val="clear" w:color="auto" w:fill="9CC2E5" w:themeFill="accent1" w:themeFillTint="99"/>
          </w:tcPr>
          <w:p w:rsidR="1F101B97" w:rsidRDefault="1F101B97" w:rsidP="1F101B97">
            <w:pPr>
              <w:pStyle w:val="ListParagraph"/>
              <w:ind w:left="0"/>
              <w:rPr>
                <w:b/>
                <w:bCs/>
              </w:rPr>
            </w:pPr>
            <w:r w:rsidRPr="1F101B97">
              <w:rPr>
                <w:b/>
                <w:bCs/>
              </w:rPr>
              <w:t>Person(s) responsible/time frame</w:t>
            </w:r>
          </w:p>
        </w:tc>
        <w:tc>
          <w:tcPr>
            <w:tcW w:w="3699" w:type="dxa"/>
            <w:shd w:val="clear" w:color="auto" w:fill="9CC2E5" w:themeFill="accent1" w:themeFillTint="99"/>
          </w:tcPr>
          <w:p w:rsidR="1F101B97" w:rsidRDefault="1F101B97" w:rsidP="1F101B97">
            <w:pPr>
              <w:pStyle w:val="ListParagraph"/>
              <w:ind w:left="0"/>
              <w:rPr>
                <w:b/>
                <w:bCs/>
              </w:rPr>
            </w:pPr>
            <w:r w:rsidRPr="1F101B97">
              <w:rPr>
                <w:b/>
                <w:bCs/>
              </w:rPr>
              <w:t>Outcome</w:t>
            </w:r>
          </w:p>
        </w:tc>
      </w:tr>
      <w:tr w:rsidR="1F101B97" w:rsidTr="1F101B97">
        <w:tc>
          <w:tcPr>
            <w:tcW w:w="3510" w:type="dxa"/>
          </w:tcPr>
          <w:p w:rsidR="1F101B97" w:rsidRDefault="1F101B97" w:rsidP="1F101B97">
            <w:pPr>
              <w:pStyle w:val="ListParagraph"/>
              <w:ind w:left="0"/>
            </w:pPr>
            <w:r>
              <w:t>To engage with parents to identify accessibility needs.</w:t>
            </w:r>
          </w:p>
        </w:tc>
        <w:tc>
          <w:tcPr>
            <w:tcW w:w="3285" w:type="dxa"/>
          </w:tcPr>
          <w:p w:rsidR="1F101B97" w:rsidRDefault="1F101B97" w:rsidP="1F101B97">
            <w:pPr>
              <w:pStyle w:val="ListParagraph"/>
              <w:ind w:left="0"/>
            </w:pPr>
            <w:r>
              <w:t>Utilise parents’ forums to discuss access to information.</w:t>
            </w:r>
          </w:p>
        </w:tc>
        <w:tc>
          <w:tcPr>
            <w:tcW w:w="2444" w:type="dxa"/>
          </w:tcPr>
          <w:p w:rsidR="1F101B97" w:rsidRDefault="1F101B97" w:rsidP="1F101B97">
            <w:pPr>
              <w:pStyle w:val="ListParagraph"/>
              <w:ind w:left="0"/>
            </w:pPr>
            <w:r>
              <w:t>N/A</w:t>
            </w:r>
          </w:p>
        </w:tc>
        <w:tc>
          <w:tcPr>
            <w:tcW w:w="2460" w:type="dxa"/>
          </w:tcPr>
          <w:p w:rsidR="1F101B97" w:rsidRDefault="1F101B97" w:rsidP="1F101B97">
            <w:pPr>
              <w:pStyle w:val="ListParagraph"/>
              <w:ind w:left="0"/>
            </w:pPr>
            <w:r>
              <w:t>Heads of School</w:t>
            </w:r>
          </w:p>
        </w:tc>
        <w:tc>
          <w:tcPr>
            <w:tcW w:w="3699" w:type="dxa"/>
          </w:tcPr>
          <w:p w:rsidR="1F101B97" w:rsidRDefault="1F101B97" w:rsidP="1F101B97">
            <w:pPr>
              <w:pStyle w:val="ListParagraph"/>
              <w:ind w:left="0"/>
            </w:pPr>
            <w:r>
              <w:t>Ongoing.</w:t>
            </w:r>
          </w:p>
        </w:tc>
      </w:tr>
      <w:tr w:rsidR="1F101B97" w:rsidTr="1F101B97">
        <w:tc>
          <w:tcPr>
            <w:tcW w:w="3510" w:type="dxa"/>
          </w:tcPr>
          <w:p w:rsidR="1F101B97" w:rsidRDefault="1F101B97" w:rsidP="1F101B97">
            <w:pPr>
              <w:pStyle w:val="ListParagraph"/>
              <w:ind w:left="0"/>
            </w:pPr>
            <w:r>
              <w:t>Improve communications for parents of children with SEND.</w:t>
            </w:r>
          </w:p>
        </w:tc>
        <w:tc>
          <w:tcPr>
            <w:tcW w:w="3285" w:type="dxa"/>
          </w:tcPr>
          <w:p w:rsidR="1F101B97" w:rsidRDefault="1F101B97" w:rsidP="1F101B97">
            <w:pPr>
              <w:pStyle w:val="ListParagraph"/>
              <w:ind w:left="0"/>
            </w:pPr>
            <w:r>
              <w:t>SEN Support Plan Meetings/Annual Reviews of Education, Health, Care Plans/Team Around the Family meetings.</w:t>
            </w:r>
          </w:p>
          <w:p w:rsidR="1F101B97" w:rsidRDefault="1F101B97" w:rsidP="1F101B97">
            <w:pPr>
              <w:pStyle w:val="ListParagraph"/>
              <w:ind w:left="0"/>
            </w:pPr>
          </w:p>
          <w:p w:rsidR="1F101B97" w:rsidRDefault="1F101B97" w:rsidP="1F101B97">
            <w:pPr>
              <w:pStyle w:val="ListParagraph"/>
              <w:ind w:left="0"/>
            </w:pPr>
            <w:r>
              <w:t>Publish SEN Information Reports on schools’ websites with links to the Local Offer/DIAS.</w:t>
            </w:r>
          </w:p>
        </w:tc>
        <w:tc>
          <w:tcPr>
            <w:tcW w:w="2444" w:type="dxa"/>
          </w:tcPr>
          <w:p w:rsidR="1F101B97" w:rsidRDefault="1F101B97" w:rsidP="1F101B97">
            <w:pPr>
              <w:pStyle w:val="ListParagraph"/>
              <w:ind w:left="0"/>
            </w:pPr>
            <w:r>
              <w:t>N/A</w:t>
            </w:r>
          </w:p>
        </w:tc>
        <w:tc>
          <w:tcPr>
            <w:tcW w:w="2460" w:type="dxa"/>
          </w:tcPr>
          <w:p w:rsidR="1F101B97" w:rsidRDefault="1F101B97" w:rsidP="1F101B97">
            <w:pPr>
              <w:pStyle w:val="ListParagraph"/>
              <w:ind w:left="0"/>
            </w:pPr>
            <w:r>
              <w:t>SDW/Heads of School – ongoing.</w:t>
            </w: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r>
              <w:t xml:space="preserve">SDW/School Administrators – completed. </w:t>
            </w:r>
          </w:p>
        </w:tc>
        <w:tc>
          <w:tcPr>
            <w:tcW w:w="3699" w:type="dxa"/>
          </w:tcPr>
          <w:p w:rsidR="1F101B97" w:rsidRDefault="1F101B97" w:rsidP="1F101B97">
            <w:pPr>
              <w:pStyle w:val="ListParagraph"/>
              <w:ind w:left="0"/>
            </w:pPr>
            <w:r>
              <w:t>Increased access to information for parents that engage with Parents’ Forums.</w:t>
            </w: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r>
              <w:t>Completed – reviewed annually.  Increased access to information for parents.</w:t>
            </w:r>
          </w:p>
        </w:tc>
      </w:tr>
      <w:tr w:rsidR="1F101B97" w:rsidTr="1F101B97">
        <w:tc>
          <w:tcPr>
            <w:tcW w:w="3510" w:type="dxa"/>
          </w:tcPr>
          <w:p w:rsidR="1F101B97" w:rsidRDefault="1F101B97" w:rsidP="1F101B97">
            <w:pPr>
              <w:pStyle w:val="ListParagraph"/>
              <w:ind w:left="0"/>
            </w:pPr>
            <w:r>
              <w:t xml:space="preserve">To establish and strengthen connections between other </w:t>
            </w:r>
            <w:proofErr w:type="spellStart"/>
            <w:r>
              <w:t>SENCos</w:t>
            </w:r>
            <w:proofErr w:type="spellEnd"/>
            <w:r>
              <w:t>, external services, nursery schools, secondary provision and alternative provision.</w:t>
            </w:r>
          </w:p>
        </w:tc>
        <w:tc>
          <w:tcPr>
            <w:tcW w:w="3285" w:type="dxa"/>
          </w:tcPr>
          <w:p w:rsidR="1F101B97" w:rsidRDefault="1F101B97" w:rsidP="1F101B97">
            <w:pPr>
              <w:pStyle w:val="ListParagraph"/>
              <w:ind w:left="0"/>
            </w:pPr>
            <w:proofErr w:type="spellStart"/>
            <w:r>
              <w:t>SENCo</w:t>
            </w:r>
            <w:proofErr w:type="spellEnd"/>
            <w:r>
              <w:t xml:space="preserve"> to attend </w:t>
            </w:r>
            <w:proofErr w:type="spellStart"/>
            <w:r>
              <w:t>SENCo</w:t>
            </w:r>
            <w:proofErr w:type="spellEnd"/>
            <w:r>
              <w:t xml:space="preserve"> network meetings.</w:t>
            </w: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roofErr w:type="spellStart"/>
            <w:r>
              <w:t>SENCo</w:t>
            </w:r>
            <w:proofErr w:type="spellEnd"/>
            <w:r>
              <w:t xml:space="preserve"> to liaise with external services.</w:t>
            </w: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roofErr w:type="spellStart"/>
            <w:r>
              <w:t>SENCo</w:t>
            </w:r>
            <w:proofErr w:type="spellEnd"/>
            <w:r>
              <w:t xml:space="preserve"> to liaise with other educational settings.</w:t>
            </w:r>
          </w:p>
        </w:tc>
        <w:tc>
          <w:tcPr>
            <w:tcW w:w="2444" w:type="dxa"/>
          </w:tcPr>
          <w:p w:rsidR="1F101B97" w:rsidRDefault="1F101B97" w:rsidP="1F101B97">
            <w:pPr>
              <w:pStyle w:val="ListParagraph"/>
              <w:ind w:left="0"/>
            </w:pPr>
            <w:r>
              <w:t>N/A</w:t>
            </w:r>
          </w:p>
        </w:tc>
        <w:tc>
          <w:tcPr>
            <w:tcW w:w="2460" w:type="dxa"/>
          </w:tcPr>
          <w:p w:rsidR="1F101B97" w:rsidRDefault="1F101B97" w:rsidP="1F101B97">
            <w:pPr>
              <w:pStyle w:val="ListParagraph"/>
              <w:ind w:left="0"/>
            </w:pPr>
            <w:r>
              <w:t>SDW</w:t>
            </w: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r>
              <w:t>SDW</w:t>
            </w: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r>
              <w:t>SDW</w:t>
            </w:r>
          </w:p>
        </w:tc>
        <w:tc>
          <w:tcPr>
            <w:tcW w:w="3699" w:type="dxa"/>
          </w:tcPr>
          <w:p w:rsidR="1F101B97" w:rsidRDefault="1F101B97" w:rsidP="1F101B97">
            <w:pPr>
              <w:pStyle w:val="ListParagraph"/>
              <w:ind w:left="0"/>
            </w:pPr>
            <w:r>
              <w:t xml:space="preserve">Ongoing – termly meetings between </w:t>
            </w:r>
            <w:proofErr w:type="spellStart"/>
            <w:r>
              <w:t>SENCos</w:t>
            </w:r>
            <w:proofErr w:type="spellEnd"/>
            <w:r>
              <w:t xml:space="preserve"> within multi-academy primary schools.</w:t>
            </w:r>
          </w:p>
          <w:p w:rsidR="1F101B97" w:rsidRDefault="1F101B97" w:rsidP="1F101B97">
            <w:pPr>
              <w:pStyle w:val="ListParagraph"/>
              <w:ind w:left="0"/>
            </w:pPr>
          </w:p>
          <w:p w:rsidR="1F101B97" w:rsidRDefault="1F101B97" w:rsidP="1F101B97">
            <w:pPr>
              <w:pStyle w:val="ListParagraph"/>
              <w:ind w:left="0"/>
            </w:pPr>
            <w:r>
              <w:t>Ongoing – regular referrals made to external services.  Parents have access to specialist advice.</w:t>
            </w:r>
          </w:p>
          <w:p w:rsidR="1F101B97" w:rsidRDefault="1F101B97" w:rsidP="1F101B97">
            <w:pPr>
              <w:pStyle w:val="ListParagraph"/>
              <w:ind w:left="0"/>
            </w:pPr>
          </w:p>
          <w:p w:rsidR="1F101B97" w:rsidRDefault="1F101B97" w:rsidP="1F101B97">
            <w:pPr>
              <w:pStyle w:val="ListParagraph"/>
              <w:ind w:left="0"/>
            </w:pPr>
          </w:p>
          <w:p w:rsidR="1F101B97" w:rsidRDefault="1F101B97" w:rsidP="1F101B97">
            <w:pPr>
              <w:pStyle w:val="ListParagraph"/>
              <w:ind w:left="0"/>
            </w:pPr>
            <w:r>
              <w:t>Ongoing – links established between Federation Primary schools and other settings in order to improve transition.</w:t>
            </w:r>
          </w:p>
        </w:tc>
      </w:tr>
    </w:tbl>
    <w:p w:rsidR="1F101B97" w:rsidRDefault="1F101B97" w:rsidP="1F101B97">
      <w:pPr>
        <w:pStyle w:val="ListParagraph"/>
        <w:ind w:left="0"/>
        <w:jc w:val="both"/>
      </w:pPr>
    </w:p>
    <w:sectPr w:rsidR="1F101B97" w:rsidSect="0012015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1D9"/>
    <w:multiLevelType w:val="hybridMultilevel"/>
    <w:tmpl w:val="E76807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654CB2"/>
    <w:multiLevelType w:val="hybridMultilevel"/>
    <w:tmpl w:val="15385C34"/>
    <w:lvl w:ilvl="0" w:tplc="B14E9B36">
      <w:start w:val="1"/>
      <w:numFmt w:val="bullet"/>
      <w:lvlText w:val=""/>
      <w:lvlJc w:val="left"/>
      <w:pPr>
        <w:ind w:left="720" w:hanging="360"/>
      </w:pPr>
      <w:rPr>
        <w:rFonts w:ascii="Symbol" w:hAnsi="Symbol" w:hint="default"/>
      </w:rPr>
    </w:lvl>
    <w:lvl w:ilvl="1" w:tplc="D086350C">
      <w:start w:val="1"/>
      <w:numFmt w:val="bullet"/>
      <w:lvlText w:val="o"/>
      <w:lvlJc w:val="left"/>
      <w:pPr>
        <w:ind w:left="1440" w:hanging="360"/>
      </w:pPr>
      <w:rPr>
        <w:rFonts w:ascii="Courier New" w:hAnsi="Courier New" w:hint="default"/>
      </w:rPr>
    </w:lvl>
    <w:lvl w:ilvl="2" w:tplc="7D8E35CA">
      <w:start w:val="1"/>
      <w:numFmt w:val="bullet"/>
      <w:lvlText w:val=""/>
      <w:lvlJc w:val="left"/>
      <w:pPr>
        <w:ind w:left="2160" w:hanging="360"/>
      </w:pPr>
      <w:rPr>
        <w:rFonts w:ascii="Wingdings" w:hAnsi="Wingdings" w:hint="default"/>
      </w:rPr>
    </w:lvl>
    <w:lvl w:ilvl="3" w:tplc="D5F80AFE">
      <w:start w:val="1"/>
      <w:numFmt w:val="bullet"/>
      <w:lvlText w:val=""/>
      <w:lvlJc w:val="left"/>
      <w:pPr>
        <w:ind w:left="2880" w:hanging="360"/>
      </w:pPr>
      <w:rPr>
        <w:rFonts w:ascii="Symbol" w:hAnsi="Symbol" w:hint="default"/>
      </w:rPr>
    </w:lvl>
    <w:lvl w:ilvl="4" w:tplc="0F324318">
      <w:start w:val="1"/>
      <w:numFmt w:val="bullet"/>
      <w:lvlText w:val="o"/>
      <w:lvlJc w:val="left"/>
      <w:pPr>
        <w:ind w:left="3600" w:hanging="360"/>
      </w:pPr>
      <w:rPr>
        <w:rFonts w:ascii="Courier New" w:hAnsi="Courier New" w:hint="default"/>
      </w:rPr>
    </w:lvl>
    <w:lvl w:ilvl="5" w:tplc="73C4A82E">
      <w:start w:val="1"/>
      <w:numFmt w:val="bullet"/>
      <w:lvlText w:val=""/>
      <w:lvlJc w:val="left"/>
      <w:pPr>
        <w:ind w:left="4320" w:hanging="360"/>
      </w:pPr>
      <w:rPr>
        <w:rFonts w:ascii="Wingdings" w:hAnsi="Wingdings" w:hint="default"/>
      </w:rPr>
    </w:lvl>
    <w:lvl w:ilvl="6" w:tplc="67E8B73C">
      <w:start w:val="1"/>
      <w:numFmt w:val="bullet"/>
      <w:lvlText w:val=""/>
      <w:lvlJc w:val="left"/>
      <w:pPr>
        <w:ind w:left="5040" w:hanging="360"/>
      </w:pPr>
      <w:rPr>
        <w:rFonts w:ascii="Symbol" w:hAnsi="Symbol" w:hint="default"/>
      </w:rPr>
    </w:lvl>
    <w:lvl w:ilvl="7" w:tplc="00E80522">
      <w:start w:val="1"/>
      <w:numFmt w:val="bullet"/>
      <w:lvlText w:val="o"/>
      <w:lvlJc w:val="left"/>
      <w:pPr>
        <w:ind w:left="5760" w:hanging="360"/>
      </w:pPr>
      <w:rPr>
        <w:rFonts w:ascii="Courier New" w:hAnsi="Courier New" w:hint="default"/>
      </w:rPr>
    </w:lvl>
    <w:lvl w:ilvl="8" w:tplc="3A2AB36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2E7"/>
    <w:rsid w:val="00033996"/>
    <w:rsid w:val="0012015B"/>
    <w:rsid w:val="00320D7E"/>
    <w:rsid w:val="00597D73"/>
    <w:rsid w:val="005A2C07"/>
    <w:rsid w:val="009312E7"/>
    <w:rsid w:val="00B37DCD"/>
    <w:rsid w:val="00F71D78"/>
    <w:rsid w:val="00FF0A57"/>
    <w:rsid w:val="10A45ADC"/>
    <w:rsid w:val="1AB485E0"/>
    <w:rsid w:val="1F101B97"/>
    <w:rsid w:val="34C3A63F"/>
    <w:rsid w:val="49E9B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C0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7D73"/>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ddavey</cp:lastModifiedBy>
  <cp:revision>2</cp:revision>
  <dcterms:created xsi:type="dcterms:W3CDTF">2019-06-14T07:51:00Z</dcterms:created>
  <dcterms:modified xsi:type="dcterms:W3CDTF">2019-06-14T07:51:00Z</dcterms:modified>
</cp:coreProperties>
</file>